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8523">
      <w:pPr>
        <w:jc w:val="center"/>
        <w:rPr>
          <w:b/>
          <w:bCs/>
          <w:color w:val="auto"/>
          <w:sz w:val="28"/>
          <w:szCs w:val="28"/>
        </w:rPr>
      </w:pPr>
      <w:r>
        <w:rPr>
          <w:rFonts w:hint="eastAsia"/>
          <w:b/>
          <w:bCs/>
          <w:color w:val="auto"/>
          <w:sz w:val="28"/>
          <w:szCs w:val="28"/>
        </w:rPr>
        <w:t>服务等级协议（SLA）</w:t>
      </w:r>
    </w:p>
    <w:p w14:paraId="0A7F334D">
      <w:pPr>
        <w:jc w:val="center"/>
        <w:rPr>
          <w:b/>
          <w:bCs/>
          <w:color w:val="auto"/>
          <w:sz w:val="28"/>
          <w:szCs w:val="28"/>
        </w:rPr>
      </w:pPr>
    </w:p>
    <w:p w14:paraId="344F053B">
      <w:pPr>
        <w:rPr>
          <w:b/>
          <w:bCs/>
          <w:color w:val="auto"/>
          <w:sz w:val="24"/>
        </w:rPr>
      </w:pPr>
      <w:r>
        <w:rPr>
          <w:rFonts w:hint="eastAsia"/>
          <w:b/>
          <w:bCs/>
          <w:color w:val="auto"/>
          <w:sz w:val="24"/>
        </w:rPr>
        <w:t>数据存储持久性</w:t>
      </w:r>
    </w:p>
    <w:p w14:paraId="44DDFEAD">
      <w:pPr>
        <w:spacing w:before="156" w:beforeLines="50" w:after="312" w:afterLines="100"/>
        <w:ind w:right="278" w:firstLine="488"/>
        <w:rPr>
          <w:rFonts w:hint="eastAsia" w:ascii="宋体" w:hAnsi="宋体" w:eastAsia="宋体" w:cs="宋体"/>
          <w:color w:val="auto"/>
          <w:spacing w:val="-2"/>
          <w:sz w:val="22"/>
          <w:szCs w:val="22"/>
        </w:rPr>
      </w:pPr>
      <w:r>
        <w:rPr>
          <w:rFonts w:ascii="宋体" w:hAnsi="宋体" w:eastAsia="宋体" w:cs="宋体"/>
          <w:color w:val="auto"/>
          <w:spacing w:val="11"/>
          <w:sz w:val="22"/>
          <w:szCs w:val="22"/>
        </w:rPr>
        <w:t>数据可靠性应不低于 99.999</w:t>
      </w:r>
      <w:r>
        <w:rPr>
          <w:rFonts w:hint="eastAsia" w:ascii="宋体" w:hAnsi="宋体" w:eastAsia="宋体" w:cs="宋体"/>
          <w:color w:val="auto"/>
          <w:spacing w:val="11"/>
          <w:sz w:val="22"/>
          <w:szCs w:val="22"/>
          <w:lang w:val="en-US" w:eastAsia="zh-CN"/>
        </w:rPr>
        <w:t>9</w:t>
      </w:r>
      <w:bookmarkStart w:id="0" w:name="_GoBack"/>
      <w:bookmarkEnd w:id="0"/>
      <w:r>
        <w:rPr>
          <w:rFonts w:ascii="宋体" w:hAnsi="宋体" w:eastAsia="宋体" w:cs="宋体"/>
          <w:color w:val="auto"/>
          <w:spacing w:val="11"/>
          <w:sz w:val="22"/>
          <w:szCs w:val="22"/>
        </w:rPr>
        <w:t>9%,云平台应按照等保三级标准建设并通过测评</w:t>
      </w:r>
      <w:r>
        <w:rPr>
          <w:rFonts w:hint="eastAsia" w:ascii="宋体" w:hAnsi="宋体" w:eastAsia="宋体" w:cs="宋体"/>
          <w:color w:val="auto"/>
          <w:spacing w:val="11"/>
          <w:sz w:val="22"/>
          <w:szCs w:val="22"/>
        </w:rPr>
        <w:t>。</w:t>
      </w:r>
    </w:p>
    <w:p w14:paraId="4EEAEEFD">
      <w:pPr>
        <w:rPr>
          <w:b/>
          <w:bCs/>
          <w:color w:val="auto"/>
          <w:sz w:val="24"/>
        </w:rPr>
      </w:pPr>
      <w:r>
        <w:rPr>
          <w:rFonts w:hint="eastAsia"/>
          <w:b/>
          <w:bCs/>
          <w:color w:val="auto"/>
          <w:sz w:val="24"/>
        </w:rPr>
        <w:t>数据可销毁性</w:t>
      </w:r>
    </w:p>
    <w:p w14:paraId="3CDC6F60">
      <w:pPr>
        <w:spacing w:before="156" w:beforeLines="50" w:after="312" w:afterLines="100"/>
        <w:ind w:right="278" w:firstLine="484" w:firstLineChars="200"/>
        <w:rPr>
          <w:rFonts w:ascii="宋体" w:hAnsi="宋体" w:eastAsia="宋体" w:cs="宋体"/>
          <w:b w:val="0"/>
          <w:bCs w:val="0"/>
          <w:color w:val="auto"/>
          <w:spacing w:val="11"/>
          <w:sz w:val="22"/>
          <w:szCs w:val="22"/>
        </w:rPr>
      </w:pPr>
      <w:r>
        <w:rPr>
          <w:rFonts w:ascii="宋体" w:hAnsi="宋体" w:eastAsia="宋体" w:cs="宋体"/>
          <w:color w:val="auto"/>
          <w:spacing w:val="11"/>
          <w:sz w:val="22"/>
          <w:szCs w:val="22"/>
        </w:rPr>
        <w:t>确保系统在新环境运行稳定后，关停原服务，并对原有系统数据进行安全擦除。</w:t>
      </w:r>
      <w:r>
        <w:rPr>
          <w:rFonts w:hint="eastAsia" w:ascii="宋体" w:hAnsi="宋体" w:eastAsia="宋体" w:cs="宋体"/>
          <w:color w:val="auto"/>
          <w:spacing w:val="11"/>
          <w:sz w:val="22"/>
          <w:szCs w:val="22"/>
          <w:lang w:val="en-US" w:eastAsia="zh-CN"/>
        </w:rPr>
        <w:t>采用反复填零的方式多次写入数据到磁盘上，以覆盖原始数据，通常使用随机数据或固定数据模式进行多次覆盖，在完成擦除后，进行数据恢复测试，以确保之前的数据不可恢复。</w:t>
      </w:r>
    </w:p>
    <w:p w14:paraId="5AADD57B">
      <w:pPr>
        <w:rPr>
          <w:b/>
          <w:bCs/>
          <w:color w:val="auto"/>
          <w:sz w:val="24"/>
        </w:rPr>
      </w:pPr>
      <w:r>
        <w:rPr>
          <w:rFonts w:hint="eastAsia"/>
          <w:b/>
          <w:bCs/>
          <w:color w:val="auto"/>
          <w:sz w:val="24"/>
        </w:rPr>
        <w:t>数据可迁移性</w:t>
      </w:r>
    </w:p>
    <w:p w14:paraId="5509EC33">
      <w:pPr>
        <w:spacing w:before="156" w:beforeLines="50" w:after="312" w:afterLines="100"/>
        <w:ind w:right="278" w:firstLine="484" w:firstLineChars="200"/>
        <w:rPr>
          <w:rFonts w:hint="eastAsia" w:ascii="宋体" w:hAnsi="宋体" w:eastAsia="宋体" w:cs="宋体"/>
          <w:color w:val="auto"/>
          <w:spacing w:val="11"/>
          <w:sz w:val="22"/>
          <w:szCs w:val="22"/>
        </w:rPr>
      </w:pPr>
      <w:r>
        <w:rPr>
          <w:rFonts w:ascii="宋体" w:hAnsi="宋体" w:eastAsia="宋体" w:cs="宋体"/>
          <w:color w:val="auto"/>
          <w:spacing w:val="11"/>
          <w:sz w:val="22"/>
          <w:szCs w:val="22"/>
        </w:rPr>
        <w:t>在信息系统迁移和交接工作中，乙方应在甲方提出系统迁出需求后 45 天内配合甲方完成信息系统迁移的相关工作，包含梳理迁出系统的云资源、安全策略配置等。</w:t>
      </w:r>
    </w:p>
    <w:p w14:paraId="0049AE88">
      <w:pPr>
        <w:rPr>
          <w:b/>
          <w:bCs/>
          <w:color w:val="auto"/>
          <w:sz w:val="24"/>
        </w:rPr>
      </w:pPr>
      <w:r>
        <w:rPr>
          <w:rFonts w:hint="eastAsia"/>
          <w:b/>
          <w:bCs/>
          <w:color w:val="auto"/>
          <w:sz w:val="24"/>
        </w:rPr>
        <w:t>数据私密性</w:t>
      </w:r>
    </w:p>
    <w:p w14:paraId="50E7A7E9">
      <w:pPr>
        <w:spacing w:before="156" w:beforeLines="50"/>
        <w:ind w:right="278" w:firstLine="488"/>
        <w:rPr>
          <w:rFonts w:hint="eastAsia" w:ascii="宋体" w:hAnsi="宋体" w:eastAsia="宋体" w:cs="宋体"/>
          <w:color w:val="auto"/>
          <w:spacing w:val="11"/>
          <w:sz w:val="22"/>
          <w:szCs w:val="22"/>
        </w:rPr>
      </w:pPr>
      <w:r>
        <w:rPr>
          <w:rFonts w:ascii="宋体" w:hAnsi="宋体" w:eastAsia="宋体" w:cs="宋体"/>
          <w:color w:val="auto"/>
          <w:spacing w:val="11"/>
          <w:sz w:val="22"/>
          <w:szCs w:val="22"/>
        </w:rPr>
        <w:t>因承接本协议约定项目所知悉的该项目信息或甲方信息，以及在项目实施过程中所产生的与该项目有关的全部信息均为甲方的保密信息，乙方应按 照《中华人民共和国保守国家秘密法》、《中华人民共和国保守国家秘密法实施 办法》及甲方关于保密工作的相关要求，对上述保密信息承担保密义务。未经甲方书面同意，乙方不得将甲方保密信息透露给任何第三方</w:t>
      </w:r>
      <w:r>
        <w:rPr>
          <w:rFonts w:hint="eastAsia" w:ascii="宋体" w:hAnsi="宋体" w:eastAsia="宋体" w:cs="宋体"/>
          <w:color w:val="auto"/>
          <w:spacing w:val="11"/>
          <w:sz w:val="22"/>
          <w:szCs w:val="22"/>
        </w:rPr>
        <w:t>。并通过</w:t>
      </w:r>
      <w:r>
        <w:rPr>
          <w:rFonts w:hint="eastAsia" w:ascii="宋体" w:hAnsi="宋体" w:eastAsia="宋体" w:cs="宋体"/>
          <w:color w:val="auto"/>
          <w:spacing w:val="11"/>
          <w:sz w:val="22"/>
          <w:szCs w:val="22"/>
          <w:lang w:val="en-US" w:eastAsia="zh-CN"/>
        </w:rPr>
        <w:t>访问控制、身份验证、数据隔离、安全审计和监控</w:t>
      </w:r>
      <w:r>
        <w:rPr>
          <w:rFonts w:hint="eastAsia" w:ascii="宋体" w:hAnsi="宋体" w:eastAsia="宋体" w:cs="宋体"/>
          <w:color w:val="auto"/>
          <w:spacing w:val="11"/>
          <w:sz w:val="22"/>
          <w:szCs w:val="22"/>
        </w:rPr>
        <w:t>保障用户数据隐私。</w:t>
      </w:r>
    </w:p>
    <w:p w14:paraId="5D80EA2D">
      <w:pPr>
        <w:keepNext w:val="0"/>
        <w:keepLines w:val="0"/>
        <w:pageBreakBefore w:val="0"/>
        <w:widowControl w:val="0"/>
        <w:kinsoku/>
        <w:wordWrap/>
        <w:overflowPunct/>
        <w:topLinePunct w:val="0"/>
        <w:autoSpaceDE/>
        <w:autoSpaceDN/>
        <w:bidi w:val="0"/>
        <w:adjustRightInd/>
        <w:snapToGrid/>
        <w:ind w:right="278" w:firstLine="488"/>
        <w:textAlignment w:val="auto"/>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访问控制：根据用户角色和权限限制用户对数据和服务的访问权限，确保只有授权用户能够访问敏感数据。</w:t>
      </w:r>
    </w:p>
    <w:p w14:paraId="62697DFB">
      <w:pPr>
        <w:keepNext w:val="0"/>
        <w:keepLines w:val="0"/>
        <w:pageBreakBefore w:val="0"/>
        <w:widowControl w:val="0"/>
        <w:kinsoku/>
        <w:wordWrap/>
        <w:overflowPunct/>
        <w:topLinePunct w:val="0"/>
        <w:autoSpaceDE/>
        <w:autoSpaceDN/>
        <w:bidi w:val="0"/>
        <w:adjustRightInd/>
        <w:snapToGrid/>
        <w:ind w:right="278" w:firstLine="488"/>
        <w:textAlignment w:val="auto"/>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身份验证：通过多种方式确认用户身份，增加安全性。</w:t>
      </w:r>
    </w:p>
    <w:p w14:paraId="49C55CB7">
      <w:pPr>
        <w:keepNext w:val="0"/>
        <w:keepLines w:val="0"/>
        <w:pageBreakBefore w:val="0"/>
        <w:widowControl w:val="0"/>
        <w:kinsoku/>
        <w:wordWrap/>
        <w:overflowPunct/>
        <w:topLinePunct w:val="0"/>
        <w:autoSpaceDE/>
        <w:autoSpaceDN/>
        <w:bidi w:val="0"/>
        <w:adjustRightInd/>
        <w:snapToGrid/>
        <w:ind w:right="278" w:firstLine="488"/>
        <w:textAlignment w:val="auto"/>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数据隔离：虚拟化和容器化技术：使用虚拟机或容器来隔离不同用户的应用和数据，防止跨用户数据泄露。专用</w:t>
      </w:r>
      <w:r>
        <w:rPr>
          <w:rFonts w:hint="eastAsia" w:ascii="宋体" w:hAnsi="宋体" w:eastAsia="宋体" w:cs="宋体"/>
          <w:color w:val="auto"/>
          <w:spacing w:val="11"/>
          <w:sz w:val="22"/>
          <w:szCs w:val="22"/>
          <w:lang w:val="en-US" w:eastAsia="zh-CN"/>
        </w:rPr>
        <w:t>虚机</w:t>
      </w:r>
      <w:r>
        <w:rPr>
          <w:rFonts w:hint="eastAsia" w:ascii="宋体" w:hAnsi="宋体" w:eastAsia="宋体" w:cs="宋体"/>
          <w:color w:val="auto"/>
          <w:spacing w:val="11"/>
          <w:sz w:val="22"/>
          <w:szCs w:val="22"/>
        </w:rPr>
        <w:t>和专用主机：为某些用户提供专门的</w:t>
      </w:r>
      <w:r>
        <w:rPr>
          <w:rFonts w:hint="eastAsia" w:ascii="宋体" w:hAnsi="宋体" w:eastAsia="宋体" w:cs="宋体"/>
          <w:color w:val="auto"/>
          <w:spacing w:val="11"/>
          <w:sz w:val="22"/>
          <w:szCs w:val="22"/>
          <w:lang w:val="en-US" w:eastAsia="zh-CN"/>
        </w:rPr>
        <w:t>虚机</w:t>
      </w:r>
      <w:r>
        <w:rPr>
          <w:rFonts w:hint="eastAsia" w:ascii="宋体" w:hAnsi="宋体" w:eastAsia="宋体" w:cs="宋体"/>
          <w:color w:val="auto"/>
          <w:spacing w:val="11"/>
          <w:sz w:val="22"/>
          <w:szCs w:val="22"/>
        </w:rPr>
        <w:t>或主机，确保数据在物理层面上得到隔离。</w:t>
      </w:r>
    </w:p>
    <w:p w14:paraId="7BB16295">
      <w:pPr>
        <w:keepNext w:val="0"/>
        <w:keepLines w:val="0"/>
        <w:pageBreakBefore w:val="0"/>
        <w:widowControl w:val="0"/>
        <w:kinsoku/>
        <w:wordWrap/>
        <w:overflowPunct/>
        <w:topLinePunct w:val="0"/>
        <w:autoSpaceDE/>
        <w:autoSpaceDN/>
        <w:bidi w:val="0"/>
        <w:adjustRightInd/>
        <w:snapToGrid/>
        <w:ind w:right="278" w:firstLine="488"/>
        <w:textAlignment w:val="auto"/>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安全审计：记录用户操作和系统事件，以便发现异常行为或安全威胁。</w:t>
      </w:r>
    </w:p>
    <w:p w14:paraId="26F0C72E">
      <w:pPr>
        <w:keepNext w:val="0"/>
        <w:keepLines w:val="0"/>
        <w:pageBreakBefore w:val="0"/>
        <w:widowControl w:val="0"/>
        <w:kinsoku/>
        <w:wordWrap/>
        <w:overflowPunct/>
        <w:topLinePunct w:val="0"/>
        <w:autoSpaceDE/>
        <w:autoSpaceDN/>
        <w:bidi w:val="0"/>
        <w:adjustRightInd/>
        <w:snapToGrid/>
        <w:ind w:right="278" w:firstLine="488"/>
        <w:textAlignment w:val="auto"/>
        <w:rPr>
          <w:rFonts w:hint="default" w:ascii="宋体" w:hAnsi="宋体" w:eastAsia="宋体" w:cs="宋体"/>
          <w:color w:val="auto"/>
          <w:spacing w:val="11"/>
          <w:sz w:val="22"/>
          <w:szCs w:val="22"/>
        </w:rPr>
      </w:pPr>
      <w:r>
        <w:rPr>
          <w:rFonts w:hint="eastAsia" w:ascii="宋体" w:hAnsi="宋体" w:eastAsia="宋体" w:cs="宋体"/>
          <w:color w:val="auto"/>
          <w:spacing w:val="11"/>
          <w:sz w:val="22"/>
          <w:szCs w:val="22"/>
          <w:lang w:val="en-US" w:eastAsia="zh-CN"/>
        </w:rPr>
        <w:t>实时监控：对系统和网络进行实时监控，及时发现潜在的安全问题并进行响应。</w:t>
      </w:r>
    </w:p>
    <w:p w14:paraId="6799C4EF">
      <w:pPr>
        <w:spacing w:before="60" w:after="312" w:afterLines="100"/>
        <w:ind w:right="278" w:firstLine="488"/>
        <w:rPr>
          <w:rFonts w:hint="eastAsia" w:ascii="宋体" w:hAnsi="宋体" w:eastAsia="宋体" w:cs="宋体"/>
          <w:color w:val="auto"/>
          <w:spacing w:val="11"/>
          <w:sz w:val="22"/>
          <w:szCs w:val="22"/>
        </w:rPr>
      </w:pPr>
      <w:r>
        <w:rPr>
          <w:rFonts w:ascii="宋体" w:hAnsi="宋体" w:eastAsia="宋体" w:cs="宋体"/>
          <w:color w:val="auto"/>
          <w:spacing w:val="11"/>
          <w:sz w:val="22"/>
          <w:szCs w:val="22"/>
        </w:rPr>
        <w:t>任何时间内，一经甲方提出要求，乙方应按照甲方指示在收到甲方书面 通知后5日内将含有保密信息的所有文件或其他资料归还甲方，且不得擅自复制留存。</w:t>
      </w:r>
    </w:p>
    <w:p w14:paraId="0697AA62">
      <w:pPr>
        <w:rPr>
          <w:b/>
          <w:bCs/>
          <w:color w:val="auto"/>
          <w:sz w:val="24"/>
        </w:rPr>
      </w:pPr>
      <w:r>
        <w:rPr>
          <w:rFonts w:hint="eastAsia"/>
          <w:b/>
          <w:bCs/>
          <w:color w:val="auto"/>
          <w:sz w:val="24"/>
        </w:rPr>
        <w:t>数据知情权</w:t>
      </w:r>
    </w:p>
    <w:p w14:paraId="38F7A038">
      <w:pPr>
        <w:spacing w:before="6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用户</w:t>
      </w:r>
      <w:r>
        <w:rPr>
          <w:rFonts w:hint="eastAsia" w:ascii="宋体" w:hAnsi="宋体" w:eastAsia="宋体" w:cs="宋体"/>
          <w:color w:val="auto"/>
          <w:spacing w:val="11"/>
          <w:sz w:val="22"/>
          <w:szCs w:val="22"/>
          <w:lang w:val="en-US" w:eastAsia="zh-CN"/>
        </w:rPr>
        <w:t>数据存储于</w:t>
      </w:r>
      <w:r>
        <w:rPr>
          <w:rFonts w:hint="eastAsia" w:ascii="宋体" w:hAnsi="宋体" w:eastAsia="宋体" w:cs="宋体"/>
          <w:color w:val="auto"/>
          <w:spacing w:val="11"/>
          <w:sz w:val="22"/>
          <w:szCs w:val="22"/>
        </w:rPr>
        <w:t>北京</w:t>
      </w:r>
      <w:r>
        <w:rPr>
          <w:rFonts w:hint="eastAsia" w:ascii="宋体" w:hAnsi="宋体" w:eastAsia="宋体" w:cs="宋体"/>
          <w:color w:val="auto"/>
          <w:spacing w:val="11"/>
          <w:sz w:val="22"/>
          <w:szCs w:val="22"/>
          <w:lang w:val="en-US" w:eastAsia="zh-CN"/>
        </w:rPr>
        <w:t>市政务云</w:t>
      </w:r>
      <w:r>
        <w:rPr>
          <w:rFonts w:hint="eastAsia" w:ascii="宋体" w:hAnsi="宋体" w:eastAsia="宋体" w:cs="宋体"/>
          <w:color w:val="auto"/>
          <w:spacing w:val="11"/>
          <w:sz w:val="22"/>
          <w:szCs w:val="22"/>
        </w:rPr>
        <w:t>数据中心，数据备份情况、数据中心符合当地法律、除政府监管部门监管审计需要外，未经客户同意，用户所有数据不会提供给任意第三方。用户所有数据不会存在国外数据中心或用于国外业务</w:t>
      </w:r>
      <w:r>
        <w:rPr>
          <w:rFonts w:hint="eastAsia" w:ascii="宋体" w:hAnsi="宋体" w:eastAsia="宋体" w:cs="宋体"/>
          <w:color w:val="auto"/>
          <w:spacing w:val="11"/>
          <w:sz w:val="22"/>
          <w:szCs w:val="22"/>
          <w:lang w:val="en-US" w:eastAsia="zh-CN"/>
        </w:rPr>
        <w:t>以及</w:t>
      </w:r>
      <w:r>
        <w:rPr>
          <w:rFonts w:hint="eastAsia" w:ascii="宋体" w:hAnsi="宋体" w:eastAsia="宋体" w:cs="宋体"/>
          <w:color w:val="auto"/>
          <w:spacing w:val="11"/>
          <w:sz w:val="22"/>
          <w:szCs w:val="22"/>
        </w:rPr>
        <w:t>数据分析。用户数据所在的数据中心均遵守当地数据中心相关的法律。</w:t>
      </w:r>
    </w:p>
    <w:p w14:paraId="73FB7D02">
      <w:pPr>
        <w:rPr>
          <w:b/>
          <w:bCs/>
          <w:color w:val="auto"/>
          <w:sz w:val="24"/>
        </w:rPr>
      </w:pPr>
      <w:r>
        <w:rPr>
          <w:rFonts w:hint="eastAsia"/>
          <w:b/>
          <w:bCs/>
          <w:color w:val="auto"/>
          <w:sz w:val="24"/>
        </w:rPr>
        <w:t>数据可审查性</w:t>
      </w:r>
    </w:p>
    <w:p w14:paraId="1A0AE4A5">
      <w:pPr>
        <w:spacing w:before="156" w:beforeLines="50" w:after="156" w:afterLines="50"/>
        <w:ind w:right="278" w:firstLine="488"/>
        <w:rPr>
          <w:rFonts w:hint="eastAsia" w:ascii="宋体" w:hAnsi="宋体" w:eastAsia="宋体" w:cs="宋体"/>
          <w:color w:val="auto"/>
          <w:spacing w:val="11"/>
          <w:sz w:val="22"/>
          <w:szCs w:val="22"/>
        </w:rPr>
      </w:pPr>
      <w:r>
        <w:rPr>
          <w:rFonts w:ascii="宋体" w:hAnsi="宋体" w:eastAsia="宋体" w:cs="宋体"/>
          <w:color w:val="auto"/>
          <w:spacing w:val="11"/>
          <w:sz w:val="22"/>
          <w:szCs w:val="22"/>
        </w:rPr>
        <w:t>按照《关于加强党政部门云计算服务网络安全管理的意见》(中网办发文[2015]14号)的要求和有关网络安全标准，落实并通过所建设的云平台的第三方网络安全审查</w:t>
      </w:r>
      <w:r>
        <w:rPr>
          <w:rFonts w:hint="eastAsia" w:ascii="宋体" w:hAnsi="宋体" w:eastAsia="宋体" w:cs="宋体"/>
          <w:color w:val="auto"/>
          <w:spacing w:val="11"/>
          <w:sz w:val="22"/>
          <w:szCs w:val="22"/>
        </w:rPr>
        <w:t>。</w:t>
      </w:r>
    </w:p>
    <w:p w14:paraId="2427AAE2">
      <w:pPr>
        <w:spacing w:after="312" w:afterLines="100"/>
        <w:ind w:right="278" w:firstLine="488"/>
        <w:rPr>
          <w:rFonts w:hint="eastAsia" w:ascii="宋体" w:hAnsi="宋体" w:eastAsia="宋体" w:cs="宋体"/>
          <w:color w:val="auto"/>
          <w:spacing w:val="11"/>
          <w:sz w:val="22"/>
          <w:szCs w:val="22"/>
        </w:rPr>
      </w:pPr>
      <w:r>
        <w:rPr>
          <w:rFonts w:ascii="宋体" w:hAnsi="宋体" w:eastAsia="宋体" w:cs="宋体"/>
          <w:color w:val="auto"/>
          <w:spacing w:val="11"/>
          <w:sz w:val="22"/>
          <w:szCs w:val="22"/>
        </w:rPr>
        <w:t>为甲方提供的服务质量应符合国家有关质量法规、质量标准的规定及相关行业的标准。</w:t>
      </w:r>
    </w:p>
    <w:p w14:paraId="60322D8D">
      <w:pPr>
        <w:rPr>
          <w:b/>
          <w:bCs/>
          <w:color w:val="auto"/>
          <w:sz w:val="24"/>
        </w:rPr>
      </w:pPr>
      <w:r>
        <w:rPr>
          <w:rFonts w:hint="eastAsia"/>
          <w:b/>
          <w:bCs/>
          <w:color w:val="auto"/>
          <w:sz w:val="24"/>
        </w:rPr>
        <w:t>服务功能</w:t>
      </w:r>
    </w:p>
    <w:p w14:paraId="43223B19">
      <w:pPr>
        <w:spacing w:before="156" w:beforeLines="50" w:after="156" w:afterLines="50"/>
        <w:ind w:right="278" w:firstLine="488"/>
        <w:rPr>
          <w:rFonts w:hint="eastAsia" w:ascii="宋体" w:hAnsi="宋体" w:eastAsia="宋体" w:cs="宋体"/>
          <w:color w:val="auto"/>
          <w:spacing w:val="11"/>
          <w:sz w:val="22"/>
          <w:szCs w:val="22"/>
        </w:rPr>
      </w:pPr>
      <w:r>
        <w:rPr>
          <w:rFonts w:ascii="宋体" w:hAnsi="宋体" w:eastAsia="宋体" w:cs="宋体"/>
          <w:color w:val="auto"/>
          <w:spacing w:val="11"/>
          <w:sz w:val="22"/>
          <w:szCs w:val="22"/>
        </w:rPr>
        <w:t>为甲方提供本协议约定的全部服务，协助甲方开展信息系统部署迁移工作，</w:t>
      </w:r>
      <w:r>
        <w:rPr>
          <w:rFonts w:hint="eastAsia" w:ascii="宋体" w:hAnsi="宋体" w:eastAsia="宋体" w:cs="宋体"/>
          <w:color w:val="auto"/>
          <w:spacing w:val="11"/>
          <w:sz w:val="22"/>
          <w:szCs w:val="22"/>
        </w:rPr>
        <w:t>做</w:t>
      </w:r>
      <w:r>
        <w:rPr>
          <w:rFonts w:ascii="宋体" w:hAnsi="宋体" w:eastAsia="宋体" w:cs="宋体"/>
          <w:color w:val="auto"/>
          <w:spacing w:val="11"/>
          <w:sz w:val="22"/>
          <w:szCs w:val="22"/>
        </w:rPr>
        <w:t>好云主机等云资源或云服务的运维工作</w:t>
      </w:r>
      <w:r>
        <w:rPr>
          <w:rFonts w:hint="eastAsia" w:ascii="宋体" w:hAnsi="宋体" w:eastAsia="宋体" w:cs="宋体"/>
          <w:color w:val="auto"/>
          <w:spacing w:val="11"/>
          <w:sz w:val="22"/>
          <w:szCs w:val="22"/>
        </w:rPr>
        <w:t>。</w:t>
      </w:r>
    </w:p>
    <w:p w14:paraId="012456C4">
      <w:pPr>
        <w:spacing w:before="156" w:beforeLines="5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包括计算服务、存储服务、网络服务、云主机深度监控服务、基础软件支撑服务、安全服务、安全检测监测审计服务、其他。</w:t>
      </w:r>
    </w:p>
    <w:p w14:paraId="555DADDA">
      <w:pPr>
        <w:rPr>
          <w:b/>
          <w:bCs/>
          <w:color w:val="auto"/>
          <w:sz w:val="24"/>
        </w:rPr>
      </w:pPr>
      <w:r>
        <w:rPr>
          <w:rFonts w:hint="eastAsia"/>
          <w:b/>
          <w:bCs/>
          <w:color w:val="auto"/>
          <w:sz w:val="24"/>
        </w:rPr>
        <w:t>服务可用性</w:t>
      </w:r>
    </w:p>
    <w:p w14:paraId="744C4270">
      <w:pPr>
        <w:spacing w:before="156" w:beforeLines="5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提供的云平台整体可用性应不低于99.99%。</w:t>
      </w:r>
    </w:p>
    <w:p w14:paraId="06E30039">
      <w:pPr>
        <w:rPr>
          <w:b/>
          <w:bCs/>
          <w:color w:val="auto"/>
          <w:sz w:val="24"/>
        </w:rPr>
      </w:pPr>
      <w:r>
        <w:rPr>
          <w:rFonts w:hint="eastAsia"/>
          <w:b/>
          <w:bCs/>
          <w:color w:val="auto"/>
          <w:sz w:val="24"/>
        </w:rPr>
        <w:t>服务资源调配能力</w:t>
      </w:r>
    </w:p>
    <w:p w14:paraId="6D0CBCAC">
      <w:pPr>
        <w:spacing w:before="156" w:beforeLines="5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提供的云平台应具备资源动态调整机制，根据甲方信息系统运行情况进行资源的动态调整。如遇信息系统使用高峰期，经双方协商可短期内提供免费的云资源扩容服务</w:t>
      </w:r>
      <w:r>
        <w:rPr>
          <w:rFonts w:hint="eastAsia" w:ascii="宋体" w:hAnsi="宋体" w:eastAsia="宋体" w:cs="宋体"/>
          <w:color w:val="auto"/>
          <w:spacing w:val="11"/>
          <w:sz w:val="22"/>
          <w:szCs w:val="22"/>
          <w:lang w:eastAsia="zh-CN"/>
        </w:rPr>
        <w:t>，</w:t>
      </w:r>
      <w:r>
        <w:rPr>
          <w:rFonts w:hint="eastAsia" w:ascii="宋体" w:hAnsi="宋体" w:eastAsia="宋体" w:cs="宋体"/>
          <w:color w:val="auto"/>
          <w:spacing w:val="11"/>
          <w:sz w:val="22"/>
          <w:szCs w:val="22"/>
        </w:rPr>
        <w:t>如需要长期使用扩容服务，以北京市级政务云基础服务目录价格为准双方协商费用，并签订补充协议</w:t>
      </w:r>
    </w:p>
    <w:p w14:paraId="7A87BF17">
      <w:pPr>
        <w:rPr>
          <w:b/>
          <w:bCs/>
          <w:color w:val="auto"/>
          <w:sz w:val="24"/>
        </w:rPr>
      </w:pPr>
      <w:r>
        <w:rPr>
          <w:rFonts w:hint="eastAsia"/>
          <w:b/>
          <w:bCs/>
          <w:color w:val="auto"/>
          <w:sz w:val="24"/>
        </w:rPr>
        <w:t>故障恢复能力</w:t>
      </w:r>
    </w:p>
    <w:p w14:paraId="4BD8EC8A">
      <w:pPr>
        <w:spacing w:before="156" w:beforeLines="5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具备故障快速定位和恢复能力，故障定位排除时限不超过30分钟，重要信息系统故障定位排除时限不超过10分钟。</w:t>
      </w:r>
    </w:p>
    <w:p w14:paraId="56956123">
      <w:pPr>
        <w:rPr>
          <w:b/>
          <w:bCs/>
          <w:color w:val="auto"/>
          <w:sz w:val="24"/>
        </w:rPr>
      </w:pPr>
      <w:r>
        <w:rPr>
          <w:rFonts w:hint="eastAsia"/>
          <w:b/>
          <w:bCs/>
          <w:color w:val="auto"/>
          <w:sz w:val="24"/>
        </w:rPr>
        <w:t>网络接入性能</w:t>
      </w:r>
    </w:p>
    <w:p w14:paraId="4DD3CAEF">
      <w:pPr>
        <w:spacing w:before="156" w:beforeLines="5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负责管理客户申请的IP地址，为甲方提供IP地址分配和管理服务。</w:t>
      </w:r>
    </w:p>
    <w:p w14:paraId="6A93A2EF">
      <w:pPr>
        <w:rPr>
          <w:b/>
          <w:bCs/>
          <w:color w:val="auto"/>
          <w:sz w:val="24"/>
        </w:rPr>
      </w:pPr>
      <w:r>
        <w:rPr>
          <w:rFonts w:hint="eastAsia"/>
          <w:b/>
          <w:bCs/>
          <w:color w:val="auto"/>
          <w:sz w:val="24"/>
        </w:rPr>
        <w:t>服务计量准确性</w:t>
      </w:r>
    </w:p>
    <w:p w14:paraId="2E9085EA">
      <w:pPr>
        <w:spacing w:before="156" w:beforeLines="50" w:after="156" w:afterLines="50"/>
        <w:ind w:right="278" w:firstLine="420" w:firstLineChars="0"/>
        <w:rPr>
          <w:rFonts w:hint="eastAsia" w:ascii="宋体" w:hAnsi="宋体" w:eastAsia="宋体" w:cs="宋体"/>
          <w:strike w:val="0"/>
          <w:color w:val="auto"/>
          <w:spacing w:val="11"/>
          <w:sz w:val="22"/>
          <w:szCs w:val="22"/>
          <w:lang w:eastAsia="zh-CN"/>
        </w:rPr>
      </w:pPr>
      <w:r>
        <w:rPr>
          <w:rFonts w:hint="eastAsia" w:ascii="宋体" w:hAnsi="宋体" w:eastAsia="宋体" w:cs="宋体"/>
          <w:strike w:val="0"/>
          <w:color w:val="auto"/>
          <w:spacing w:val="11"/>
          <w:sz w:val="22"/>
          <w:szCs w:val="22"/>
        </w:rPr>
        <w:t>按照北京市级政务云服务目录收取服务费，按照市级政务云要求及标准提供政务云服务</w:t>
      </w:r>
      <w:r>
        <w:rPr>
          <w:rFonts w:hint="eastAsia" w:ascii="宋体" w:hAnsi="宋体" w:eastAsia="宋体" w:cs="宋体"/>
          <w:strike w:val="0"/>
          <w:color w:val="auto"/>
          <w:spacing w:val="11"/>
          <w:sz w:val="22"/>
          <w:szCs w:val="22"/>
          <w:lang w:eastAsia="zh-CN"/>
        </w:rPr>
        <w:t>。</w:t>
      </w:r>
    </w:p>
    <w:p w14:paraId="51B4E64E">
      <w:pPr>
        <w:ind w:firstLine="0" w:firstLineChars="0"/>
        <w:rPr>
          <w:b/>
          <w:bCs/>
          <w:color w:val="auto"/>
          <w:sz w:val="24"/>
        </w:rPr>
      </w:pPr>
      <w:r>
        <w:rPr>
          <w:rFonts w:hint="eastAsia"/>
          <w:b/>
          <w:bCs/>
          <w:color w:val="auto"/>
          <w:sz w:val="24"/>
        </w:rPr>
        <w:t>服务变更、中止条款</w:t>
      </w:r>
    </w:p>
    <w:p w14:paraId="221125CB">
      <w:pPr>
        <w:spacing w:before="156" w:beforeLines="5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1、在运营期间，如发生附件1中所列A 级事件1 次，甲方有权解除本协议，并要求乙方赔偿甲方相应的经济损失。</w:t>
      </w:r>
    </w:p>
    <w:p w14:paraId="1F9985C2">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2、在运营期间，如发生附件1所列B 级事件2次，甲方有权解除本协议，并要求乙方赔偿甲方相应的经济损失。</w:t>
      </w:r>
    </w:p>
    <w:p w14:paraId="0773CF5B">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3、乙方提供服务过程中可能发生的违约行为及相应应承担的违约金详见附件</w:t>
      </w:r>
      <w:r>
        <w:rPr>
          <w:rFonts w:hint="eastAsia" w:ascii="宋体" w:hAnsi="宋体" w:eastAsia="宋体" w:cs="宋体"/>
          <w:color w:val="auto"/>
          <w:spacing w:val="11"/>
          <w:sz w:val="22"/>
          <w:szCs w:val="22"/>
          <w:lang w:val="en-US" w:eastAsia="zh-CN"/>
        </w:rPr>
        <w:t>2、3，</w:t>
      </w:r>
      <w:r>
        <w:rPr>
          <w:rFonts w:hint="eastAsia" w:ascii="宋体" w:hAnsi="宋体" w:eastAsia="宋体" w:cs="宋体"/>
          <w:color w:val="auto"/>
          <w:spacing w:val="11"/>
          <w:sz w:val="22"/>
          <w:szCs w:val="22"/>
        </w:rPr>
        <w:t>违约金的支付从尾款中抵扣，如尾款不足支付则由乙方另行支付甲方。 系同一事件或原因导致的事故，甲方不可就同一事件重复要求乙方承担违约责任</w:t>
      </w:r>
      <w:r>
        <w:rPr>
          <w:rFonts w:hint="eastAsia" w:ascii="宋体" w:hAnsi="宋体" w:eastAsia="宋体" w:cs="宋体"/>
          <w:color w:val="auto"/>
          <w:spacing w:val="11"/>
          <w:sz w:val="22"/>
          <w:szCs w:val="22"/>
          <w:lang w:eastAsia="zh-CN"/>
        </w:rPr>
        <w:t>，</w:t>
      </w:r>
      <w:r>
        <w:rPr>
          <w:rFonts w:hint="eastAsia" w:ascii="宋体" w:hAnsi="宋体" w:eastAsia="宋体" w:cs="宋体"/>
          <w:color w:val="auto"/>
          <w:spacing w:val="11"/>
          <w:sz w:val="22"/>
          <w:szCs w:val="22"/>
        </w:rPr>
        <w:t>经甲乙双方协商，择其重者确定乙方支付违约金的办法。</w:t>
      </w:r>
    </w:p>
    <w:p w14:paraId="0C01F7E6">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lang w:val="en-US" w:eastAsia="zh-CN"/>
        </w:rPr>
        <w:t>4</w:t>
      </w:r>
      <w:r>
        <w:rPr>
          <w:rFonts w:hint="eastAsia" w:ascii="宋体" w:hAnsi="宋体" w:eastAsia="宋体" w:cs="宋体"/>
          <w:color w:val="auto"/>
          <w:spacing w:val="11"/>
          <w:sz w:val="22"/>
          <w:szCs w:val="22"/>
        </w:rPr>
        <w:t>、在运营期间出现下列情况，甲方向乙方提出整改要求和期限，且乙方在规定期限内未能履行甲方正当要求的，甲方有权与乙方终止协议：</w:t>
      </w:r>
    </w:p>
    <w:p w14:paraId="3F2790BC">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(1)多次在云综合监管服务商已发出整改通知后未正确处置，出现问题并造成B级及以上事故；</w:t>
      </w:r>
    </w:p>
    <w:p w14:paraId="36F8EA29">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(2)重大活动期间所承诺的骨干人员和管理人员未到场；</w:t>
      </w:r>
    </w:p>
    <w:p w14:paraId="2C081CFD">
      <w:pPr>
        <w:spacing w:before="60" w:after="312" w:afterLines="100"/>
        <w:ind w:right="278" w:firstLine="488"/>
        <w:rPr>
          <w:color w:val="auto"/>
          <w:sz w:val="20"/>
          <w:szCs w:val="22"/>
        </w:rPr>
      </w:pPr>
      <w:r>
        <w:rPr>
          <w:rFonts w:hint="eastAsia" w:ascii="宋体" w:hAnsi="宋体" w:eastAsia="宋体" w:cs="宋体"/>
          <w:color w:val="auto"/>
          <w:spacing w:val="11"/>
          <w:sz w:val="22"/>
          <w:szCs w:val="22"/>
        </w:rPr>
        <w:t>(3)连续2个月所承诺的运维服务人员人数未达到协议要求。</w:t>
      </w:r>
    </w:p>
    <w:p w14:paraId="668FDBB2">
      <w:pPr>
        <w:rPr>
          <w:b/>
          <w:bCs/>
          <w:color w:val="auto"/>
          <w:sz w:val="24"/>
        </w:rPr>
      </w:pPr>
      <w:r>
        <w:rPr>
          <w:rFonts w:hint="eastAsia"/>
          <w:b/>
          <w:bCs/>
          <w:color w:val="auto"/>
          <w:sz w:val="24"/>
        </w:rPr>
        <w:t>服务赔偿条款</w:t>
      </w:r>
    </w:p>
    <w:p w14:paraId="703D07EB">
      <w:pPr>
        <w:spacing w:before="156" w:beforeLines="5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1、在运营期间，如发生附件1中所列A 级事件1 次，甲方有权解除本协议，并要求乙方赔偿甲方相应的经济损失。</w:t>
      </w:r>
    </w:p>
    <w:p w14:paraId="41B97999">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2、在运营期间，如发生附件1所列B 级事件2次，甲方有权解除本协议，并要求乙方赔偿甲方相应的经济损失。</w:t>
      </w:r>
    </w:p>
    <w:p w14:paraId="62CAB734">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3、乙方提供服务过程中可能发生的违约行为及相应应承担的违约金详见附件</w:t>
      </w:r>
    </w:p>
    <w:p w14:paraId="5DA7653F">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2、3 规定，违约金的支付从尾款中抵扣，如尾款不足支付则由乙方另行支付甲方。系同一事件或原因导致的事故，甲方不可就同一事件重复要求乙方承担违约责任</w:t>
      </w:r>
      <w:r>
        <w:rPr>
          <w:rFonts w:hint="eastAsia" w:ascii="宋体" w:hAnsi="宋体" w:eastAsia="宋体" w:cs="宋体"/>
          <w:color w:val="auto"/>
          <w:spacing w:val="11"/>
          <w:sz w:val="22"/>
          <w:szCs w:val="22"/>
          <w:lang w:eastAsia="zh-CN"/>
        </w:rPr>
        <w:t>，</w:t>
      </w:r>
      <w:r>
        <w:rPr>
          <w:rFonts w:hint="eastAsia" w:ascii="宋体" w:hAnsi="宋体" w:eastAsia="宋体" w:cs="宋体"/>
          <w:color w:val="auto"/>
          <w:spacing w:val="11"/>
          <w:sz w:val="22"/>
          <w:szCs w:val="22"/>
        </w:rPr>
        <w:t>经甲乙双方协商，择其重者确定乙方支付违约金的办法。</w:t>
      </w:r>
    </w:p>
    <w:p w14:paraId="1F6D31CE">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4、在运营期间出现下列情况，甲方向乙方提出整改要求和期限，且乙方在规 定期限内未能履行甲方正当要求的，甲方有权与乙方终止协议：</w:t>
      </w:r>
    </w:p>
    <w:p w14:paraId="74C2B4FD">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(1)多次在云综合监管服务商已发出整改通知后未正确处置，出现问题并造 成B 级及以上事故；</w:t>
      </w:r>
    </w:p>
    <w:p w14:paraId="39A3EE7A">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(2)重大活动期间所承诺的骨干人员和管理人员未到场；</w:t>
      </w:r>
    </w:p>
    <w:p w14:paraId="696B50FA">
      <w:pPr>
        <w:spacing w:before="60" w:after="312" w:afterLines="100"/>
        <w:ind w:right="278" w:firstLine="488"/>
        <w:rPr>
          <w:color w:val="auto"/>
          <w:sz w:val="20"/>
          <w:szCs w:val="22"/>
        </w:rPr>
      </w:pPr>
      <w:r>
        <w:rPr>
          <w:rFonts w:hint="eastAsia" w:ascii="宋体" w:hAnsi="宋体" w:eastAsia="宋体" w:cs="宋体"/>
          <w:color w:val="auto"/>
          <w:spacing w:val="11"/>
          <w:sz w:val="22"/>
          <w:szCs w:val="22"/>
        </w:rPr>
        <w:t>(3)连续2个月所承诺的运维服务人员人数未达到协议要求。</w:t>
      </w:r>
    </w:p>
    <w:p w14:paraId="3EED1CD5">
      <w:pPr>
        <w:rPr>
          <w:b/>
          <w:bCs/>
          <w:color w:val="auto"/>
          <w:sz w:val="24"/>
        </w:rPr>
      </w:pPr>
      <w:r>
        <w:rPr>
          <w:rFonts w:hint="eastAsia"/>
          <w:b/>
          <w:bCs/>
          <w:color w:val="auto"/>
          <w:sz w:val="24"/>
        </w:rPr>
        <w:t>用户约束条款</w:t>
      </w:r>
    </w:p>
    <w:p w14:paraId="5A6775C3">
      <w:pPr>
        <w:spacing w:before="156" w:beforeLines="5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1、甲方有权对乙方提供的各项服务进行监督、检查和评价。</w:t>
      </w:r>
    </w:p>
    <w:p w14:paraId="24E83784">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2、甲方应提出有关管理、技术需求和要求，协调乙方与信息系统服务商的关 系，协调信息系统服务商配合调研、迁移、运维、安全和应急演练等过程的工作。</w:t>
      </w:r>
    </w:p>
    <w:p w14:paraId="0F741D78">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3、甲方需按照《北京市市级政务云管理办法》的要求申请、变更、退出云服 务；在系统入云、上线、服务变更、退出等关键节点，甲方应提前提交《北京市市 级政务云服务统一工单》相应部分内容至政务云管理单位进行备案作为工作依据。甲 方应按本协议约定使用乙方提供的云资源，做到资源专用，协议未约定或未提交《北京市市级政务云服务统一工单》至政务云管理单位备案的信息系统不得部署入云。</w:t>
      </w:r>
    </w:p>
    <w:p w14:paraId="70CBD0B4">
      <w:pPr>
        <w:spacing w:before="60" w:after="60"/>
        <w:ind w:right="278" w:firstLine="488"/>
        <w:rPr>
          <w:rFonts w:ascii="Arial"/>
          <w:color w:val="auto"/>
        </w:rPr>
      </w:pPr>
      <w:r>
        <w:rPr>
          <w:rFonts w:hint="eastAsia" w:ascii="宋体" w:hAnsi="宋体" w:eastAsia="宋体" w:cs="宋体"/>
          <w:color w:val="auto"/>
          <w:spacing w:val="11"/>
          <w:sz w:val="22"/>
          <w:szCs w:val="22"/>
        </w:rPr>
        <w:t>4、甲方如需对已上线信息系统进行维护升级、渗透测试、安全加固等操作，应 提前告知乙方。</w:t>
      </w:r>
    </w:p>
    <w:p w14:paraId="78DF78C4">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6、甲方有权要求乙方现场技术指导、处理故障及其他服务。</w:t>
      </w:r>
    </w:p>
    <w:p w14:paraId="231D9684">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7、乙方须按照协议所约定的服务内容标准向甲方提供相关资源和服务。</w:t>
      </w:r>
    </w:p>
    <w:p w14:paraId="048B3917">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8、乙方应协助甲方建立健全信息系统管理配套制度，包括：运维制度、应急 预案、安全保障制度、运行监管办法等。</w:t>
      </w:r>
    </w:p>
    <w:p w14:paraId="6570719D">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9、乙方负责云平台基础安全保障和运维工作。</w:t>
      </w:r>
    </w:p>
    <w:p w14:paraId="52FF0C1C">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10、乙方应负责本单位人员的安全培训、技术培训，确保工作人员符合岗位要 求。</w:t>
      </w:r>
    </w:p>
    <w:p w14:paraId="48DF86EC">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11、乙方需按照有关规定进行操作，确保各系统不被人为损坏。</w:t>
      </w:r>
    </w:p>
    <w:p w14:paraId="1A1E8D70">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12、乙方负责提供资源调度管理和维护，提供云主机状态监控，对甲方所购买 使用的资源提供运维服务，未经授权不得擅自修改信息系统数据或发布信息等。</w:t>
      </w:r>
    </w:p>
    <w:p w14:paraId="10F54DED">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 xml:space="preserve">13、乙方负责管理甲方申请的 IP地址，为甲方提供IP地址分配和管理服务。 </w:t>
      </w:r>
    </w:p>
    <w:p w14:paraId="70F595D3">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14、信息系统正式上线后，乙方需定期向甲方提供政务云服务报告，以便甲 方及时获取政务云资源或服务的使用情况。</w:t>
      </w:r>
    </w:p>
    <w:p w14:paraId="5A936F40">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15、甲方如需乙方提供重启服务器操作时，乙方有权要求甲方提供书面申请。除 本款约定外，乙方原则上不接受甲方提出的其他可能对甲方服务器造成损坏的任何操作要求。</w:t>
      </w:r>
    </w:p>
    <w:p w14:paraId="68D2007E">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16、乙方应提供技术支持服务，以维护甲方系统的正常运行。</w:t>
      </w:r>
    </w:p>
    <w:p w14:paraId="047FB13E">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17、重大活动期间，乙方应配合甲方制定重保方案并提供云平台的现场值守等 服务。</w:t>
      </w:r>
    </w:p>
    <w:p w14:paraId="6B8F4977">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18、乙方应配合甲方制定信息系统应急预案，并配合开展信息系统应急演练工 作，做好日常应急响应工作。</w:t>
      </w:r>
    </w:p>
    <w:p w14:paraId="7F1B784B">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19、乙方接到甲方故障报告后，应及时做好相关信息的登记工作，并进行故 障排查。乙方应定时向甲方反馈检查进度及结果，故障排除后，乙方应将结果及时 反馈甲方并做好书面报告和故障记录。</w:t>
      </w:r>
    </w:p>
    <w:p w14:paraId="2F0C2548">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20、由于甲方指定的其他技术服务提供商提供的软件或产品的缺陷，造成的 信息系统运行故障、安全漏洞、信息泄露等事故，乙方需要配合甲方进行整改。</w:t>
      </w:r>
    </w:p>
    <w:p w14:paraId="2D7F0BD6">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21、当甲方入云信息系统出现严重影响政务云平台安全稳定运行的事件时，乙方有权暂时中断甲方的云服务并书面通知甲方，事件处理完毕后恢复服务。</w:t>
      </w:r>
    </w:p>
    <w:p w14:paraId="75B3347B">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22、乙方应保证为甲方提供具备本合同项下服务所需的相应资质和许可。乙 方应保证技术服务人员在甲方工作过程中人员相对稳定。</w:t>
      </w:r>
    </w:p>
    <w:p w14:paraId="40EA7358">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23、乙方工作人员未经甲方授权，擅自篡改甲方业务数据，或利用甲方现有 业务应用系统、网络平台或者冒用甲方身份获取非法利益，造成甲方或任何第三 方损失的，由乙方承担法律责任并负责赔偿相应损失。</w:t>
      </w:r>
    </w:p>
    <w:p w14:paraId="5E979617">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24、乙方保证其向甲方提供的服务不存在任何侵犯第三方著作权、商标权、 专利权等合法权益的情形，否则乙方应赔偿因此给甲方造成的全部损失。</w:t>
      </w:r>
    </w:p>
    <w:p w14:paraId="66DF8CD4">
      <w:pPr>
        <w:spacing w:before="60" w:after="312" w:afterLines="10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25、未经甲方同意，乙方不得擅自部分或全部转委托。</w:t>
      </w:r>
    </w:p>
    <w:p w14:paraId="0BA8DB76">
      <w:pPr>
        <w:rPr>
          <w:b/>
          <w:bCs/>
          <w:color w:val="auto"/>
          <w:sz w:val="24"/>
        </w:rPr>
      </w:pPr>
      <w:r>
        <w:rPr>
          <w:rFonts w:hint="eastAsia"/>
          <w:b/>
          <w:bCs/>
          <w:color w:val="auto"/>
          <w:sz w:val="24"/>
        </w:rPr>
        <w:t>服务商免责条款</w:t>
      </w:r>
    </w:p>
    <w:p w14:paraId="6408D3B6">
      <w:pPr>
        <w:spacing w:before="156" w:beforeLines="5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1、协议中不可抗力指地震、台风、火灾、水灾、战争、罢工以及其他双 方共同认同的不能预见、不能避免并不能克服的客观情况。</w:t>
      </w:r>
    </w:p>
    <w:p w14:paraId="3639C942">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2、由于网络运营商的核心设备故障造成的网络中断、阻塞，从而影响到系 统的正常访问或响应速率降低，属于不可控事件和不可抗力，甲方应对此表示认同。</w:t>
      </w:r>
    </w:p>
    <w:p w14:paraId="4D5DFDF3">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3、由于不可抗力致使协议无法履行的，受不可抗力影响一方应立即将不能 履行本协议的事实书面通知对方，并在不可抗力发生之日起15天内提供相关政 府部门或公证机关出具的证明文件。</w:t>
      </w:r>
    </w:p>
    <w:p w14:paraId="697241ED">
      <w:pPr>
        <w:spacing w:before="60" w:after="60"/>
        <w:ind w:right="278" w:firstLine="488"/>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t>4、由于不可抗力致使协议无法履行的，本协议在不可抗力影响范围及其持 续期间内将中止履行，本协议执行时间可根据中止的时间相应顺延，双方无须承 担违约责任。不可抗力事件消除后，双方应就协议的履行及后续问题进行协商， 按照该事件对协议履行的影响程度，决定继续履行协议或终止协议。</w:t>
      </w:r>
    </w:p>
    <w:p w14:paraId="630BA3BA">
      <w:pPr>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rPr>
        <w:br w:type="page"/>
      </w:r>
    </w:p>
    <w:p w14:paraId="618BC693">
      <w:pPr>
        <w:spacing w:before="60" w:after="60"/>
        <w:ind w:right="278" w:firstLine="488"/>
        <w:rPr>
          <w:rFonts w:hint="eastAsia" w:ascii="宋体" w:hAnsi="宋体" w:eastAsia="宋体" w:cs="宋体"/>
          <w:b/>
          <w:bCs/>
          <w:color w:val="auto"/>
          <w:spacing w:val="11"/>
          <w:sz w:val="22"/>
          <w:szCs w:val="22"/>
          <w:lang w:val="en-US" w:eastAsia="zh-CN"/>
        </w:rPr>
      </w:pPr>
      <w:r>
        <w:rPr>
          <w:rFonts w:hint="eastAsia" w:ascii="宋体" w:hAnsi="宋体" w:eastAsia="宋体" w:cs="宋体"/>
          <w:b/>
          <w:bCs/>
          <w:color w:val="auto"/>
          <w:spacing w:val="11"/>
          <w:sz w:val="22"/>
          <w:szCs w:val="22"/>
          <w:lang w:val="en-US" w:eastAsia="zh-CN"/>
        </w:rPr>
        <w:t xml:space="preserve">附件1 </w:t>
      </w:r>
    </w:p>
    <w:p w14:paraId="3FAB3B57">
      <w:pPr>
        <w:spacing w:before="60" w:after="60"/>
        <w:ind w:right="278" w:firstLine="488"/>
        <w:jc w:val="center"/>
        <w:rPr>
          <w:rFonts w:hint="eastAsia" w:ascii="宋体" w:hAnsi="宋体" w:eastAsia="宋体" w:cs="宋体"/>
          <w:b/>
          <w:bCs/>
          <w:color w:val="auto"/>
          <w:spacing w:val="11"/>
          <w:sz w:val="24"/>
          <w:szCs w:val="24"/>
          <w:lang w:val="en-US" w:eastAsia="zh-CN"/>
        </w:rPr>
      </w:pPr>
      <w:r>
        <w:rPr>
          <w:rFonts w:hint="eastAsia" w:ascii="宋体" w:hAnsi="宋体" w:eastAsia="宋体" w:cs="宋体"/>
          <w:b/>
          <w:bCs/>
          <w:color w:val="auto"/>
          <w:spacing w:val="11"/>
          <w:sz w:val="24"/>
          <w:szCs w:val="24"/>
          <w:lang w:val="en-US" w:eastAsia="zh-CN"/>
        </w:rPr>
        <w:t>重大违约行为表</w:t>
      </w:r>
    </w:p>
    <w:p w14:paraId="660714AD">
      <w:pPr>
        <w:spacing w:before="60" w:after="60"/>
        <w:ind w:right="278" w:firstLine="488"/>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违约金=合同金额*100%</w:t>
      </w:r>
    </w:p>
    <w:tbl>
      <w:tblPr>
        <w:tblStyle w:val="5"/>
        <w:tblW w:w="7943"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849"/>
        <w:gridCol w:w="1218"/>
        <w:gridCol w:w="2696"/>
        <w:gridCol w:w="959"/>
        <w:gridCol w:w="755"/>
        <w:gridCol w:w="682"/>
      </w:tblGrid>
      <w:tr w14:paraId="2B9D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633" w:type="dxa"/>
            <w:gridSpan w:val="2"/>
            <w:vAlign w:val="top"/>
          </w:tcPr>
          <w:p w14:paraId="193A8EF6">
            <w:pPr>
              <w:spacing w:line="293" w:lineRule="auto"/>
              <w:rPr>
                <w:rFonts w:ascii="Arial"/>
                <w:sz w:val="21"/>
              </w:rPr>
            </w:pPr>
          </w:p>
          <w:p w14:paraId="2410F2A5">
            <w:pPr>
              <w:pStyle w:val="6"/>
              <w:spacing w:before="65" w:line="219" w:lineRule="auto"/>
              <w:ind w:left="587"/>
              <w:rPr>
                <w:sz w:val="20"/>
                <w:szCs w:val="20"/>
              </w:rPr>
            </w:pPr>
            <w:r>
              <w:rPr>
                <w:b/>
                <w:bCs/>
                <w:spacing w:val="-5"/>
                <w:sz w:val="20"/>
                <w:szCs w:val="20"/>
              </w:rPr>
              <w:t>类别</w:t>
            </w:r>
          </w:p>
        </w:tc>
        <w:tc>
          <w:tcPr>
            <w:tcW w:w="1218" w:type="dxa"/>
            <w:vAlign w:val="top"/>
          </w:tcPr>
          <w:p w14:paraId="0954EE04">
            <w:pPr>
              <w:spacing w:line="294" w:lineRule="auto"/>
              <w:rPr>
                <w:rFonts w:ascii="Arial"/>
                <w:sz w:val="21"/>
              </w:rPr>
            </w:pPr>
          </w:p>
          <w:p w14:paraId="3B254FCB">
            <w:pPr>
              <w:pStyle w:val="6"/>
              <w:spacing w:before="65" w:line="220" w:lineRule="auto"/>
              <w:ind w:left="404"/>
              <w:rPr>
                <w:sz w:val="20"/>
                <w:szCs w:val="20"/>
              </w:rPr>
            </w:pPr>
            <w:r>
              <w:rPr>
                <w:b/>
                <w:bCs/>
                <w:spacing w:val="4"/>
                <w:sz w:val="20"/>
                <w:szCs w:val="20"/>
              </w:rPr>
              <w:t>范围</w:t>
            </w:r>
          </w:p>
        </w:tc>
        <w:tc>
          <w:tcPr>
            <w:tcW w:w="2696" w:type="dxa"/>
            <w:vAlign w:val="top"/>
          </w:tcPr>
          <w:p w14:paraId="554462A9">
            <w:pPr>
              <w:spacing w:line="287" w:lineRule="auto"/>
              <w:rPr>
                <w:rFonts w:ascii="Arial"/>
                <w:sz w:val="21"/>
              </w:rPr>
            </w:pPr>
          </w:p>
          <w:p w14:paraId="575AE37E">
            <w:pPr>
              <w:pStyle w:val="6"/>
              <w:spacing w:before="67" w:line="202" w:lineRule="auto"/>
              <w:jc w:val="center"/>
              <w:rPr>
                <w:sz w:val="20"/>
                <w:szCs w:val="20"/>
              </w:rPr>
            </w:pPr>
            <w:r>
              <w:rPr>
                <w:b/>
                <w:bCs/>
                <w:spacing w:val="9"/>
                <w:sz w:val="20"/>
                <w:szCs w:val="20"/>
              </w:rPr>
              <w:t>影响</w:t>
            </w:r>
          </w:p>
        </w:tc>
        <w:tc>
          <w:tcPr>
            <w:tcW w:w="959" w:type="dxa"/>
            <w:vAlign w:val="top"/>
          </w:tcPr>
          <w:p w14:paraId="6653C839">
            <w:pPr>
              <w:spacing w:line="296" w:lineRule="auto"/>
              <w:rPr>
                <w:rFonts w:ascii="Arial"/>
                <w:sz w:val="21"/>
              </w:rPr>
            </w:pPr>
          </w:p>
          <w:p w14:paraId="71622455">
            <w:pPr>
              <w:pStyle w:val="6"/>
              <w:spacing w:before="65" w:line="221" w:lineRule="auto"/>
              <w:jc w:val="center"/>
              <w:rPr>
                <w:sz w:val="20"/>
                <w:szCs w:val="20"/>
              </w:rPr>
            </w:pPr>
            <w:r>
              <w:rPr>
                <w:b/>
                <w:bCs/>
                <w:spacing w:val="-6"/>
                <w:sz w:val="20"/>
                <w:szCs w:val="20"/>
              </w:rPr>
              <w:t>影响时间</w:t>
            </w:r>
          </w:p>
        </w:tc>
        <w:tc>
          <w:tcPr>
            <w:tcW w:w="755" w:type="dxa"/>
            <w:vAlign w:val="top"/>
          </w:tcPr>
          <w:p w14:paraId="576C948F">
            <w:pPr>
              <w:pStyle w:val="6"/>
              <w:spacing w:before="270" w:line="234" w:lineRule="auto"/>
              <w:ind w:left="160" w:right="96" w:hanging="19"/>
              <w:jc w:val="left"/>
              <w:rPr>
                <w:sz w:val="20"/>
                <w:szCs w:val="20"/>
              </w:rPr>
            </w:pPr>
            <w:r>
              <w:rPr>
                <w:b/>
                <w:bCs/>
                <w:spacing w:val="-7"/>
                <w:sz w:val="20"/>
                <w:szCs w:val="20"/>
              </w:rPr>
              <w:t>事件</w:t>
            </w:r>
            <w:r>
              <w:rPr>
                <w:sz w:val="20"/>
                <w:szCs w:val="20"/>
              </w:rPr>
              <w:t xml:space="preserve"> </w:t>
            </w:r>
            <w:r>
              <w:rPr>
                <w:b/>
                <w:bCs/>
                <w:spacing w:val="3"/>
                <w:sz w:val="20"/>
                <w:szCs w:val="20"/>
              </w:rPr>
              <w:t>级别</w:t>
            </w:r>
          </w:p>
        </w:tc>
        <w:tc>
          <w:tcPr>
            <w:tcW w:w="682" w:type="dxa"/>
            <w:vAlign w:val="top"/>
          </w:tcPr>
          <w:p w14:paraId="48394AA3">
            <w:pPr>
              <w:spacing w:line="293" w:lineRule="auto"/>
              <w:rPr>
                <w:rFonts w:ascii="Arial"/>
                <w:sz w:val="21"/>
              </w:rPr>
            </w:pPr>
          </w:p>
          <w:p w14:paraId="2E9CAF23">
            <w:pPr>
              <w:pStyle w:val="6"/>
              <w:spacing w:before="65" w:line="219" w:lineRule="auto"/>
              <w:jc w:val="center"/>
              <w:rPr>
                <w:sz w:val="20"/>
                <w:szCs w:val="20"/>
              </w:rPr>
            </w:pPr>
            <w:r>
              <w:rPr>
                <w:b/>
                <w:bCs/>
                <w:spacing w:val="-15"/>
                <w:sz w:val="20"/>
                <w:szCs w:val="20"/>
              </w:rPr>
              <w:t>次</w:t>
            </w:r>
            <w:r>
              <w:rPr>
                <w:b/>
                <w:bCs/>
                <w:spacing w:val="-9"/>
                <w:sz w:val="20"/>
                <w:szCs w:val="20"/>
              </w:rPr>
              <w:t>数</w:t>
            </w:r>
          </w:p>
        </w:tc>
      </w:tr>
      <w:tr w14:paraId="0899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784" w:type="dxa"/>
            <w:vMerge w:val="restart"/>
            <w:tcBorders>
              <w:bottom w:val="nil"/>
            </w:tcBorders>
            <w:vAlign w:val="top"/>
          </w:tcPr>
          <w:p w14:paraId="73B08780">
            <w:pPr>
              <w:spacing w:line="252" w:lineRule="auto"/>
              <w:rPr>
                <w:rFonts w:ascii="Arial"/>
                <w:sz w:val="21"/>
              </w:rPr>
            </w:pPr>
          </w:p>
          <w:p w14:paraId="5816171D">
            <w:pPr>
              <w:spacing w:line="252" w:lineRule="auto"/>
              <w:rPr>
                <w:rFonts w:ascii="Arial"/>
                <w:sz w:val="21"/>
              </w:rPr>
            </w:pPr>
          </w:p>
          <w:p w14:paraId="35B1C55B">
            <w:pPr>
              <w:spacing w:line="252" w:lineRule="auto"/>
              <w:rPr>
                <w:rFonts w:ascii="Arial"/>
                <w:sz w:val="21"/>
              </w:rPr>
            </w:pPr>
          </w:p>
          <w:p w14:paraId="2B840512">
            <w:pPr>
              <w:spacing w:line="252" w:lineRule="auto"/>
              <w:rPr>
                <w:rFonts w:ascii="Arial"/>
                <w:sz w:val="21"/>
              </w:rPr>
            </w:pPr>
          </w:p>
          <w:p w14:paraId="087A6FE9">
            <w:pPr>
              <w:spacing w:line="252" w:lineRule="auto"/>
              <w:rPr>
                <w:rFonts w:ascii="Arial"/>
                <w:sz w:val="21"/>
              </w:rPr>
            </w:pPr>
          </w:p>
          <w:p w14:paraId="4A187051">
            <w:pPr>
              <w:spacing w:line="252" w:lineRule="auto"/>
              <w:rPr>
                <w:rFonts w:ascii="Arial"/>
                <w:sz w:val="21"/>
              </w:rPr>
            </w:pPr>
          </w:p>
          <w:p w14:paraId="5B0AD38B">
            <w:pPr>
              <w:spacing w:line="252" w:lineRule="auto"/>
              <w:rPr>
                <w:rFonts w:ascii="Arial"/>
                <w:sz w:val="21"/>
              </w:rPr>
            </w:pPr>
          </w:p>
          <w:p w14:paraId="14BDD227">
            <w:pPr>
              <w:spacing w:line="252" w:lineRule="auto"/>
              <w:rPr>
                <w:rFonts w:ascii="Arial"/>
                <w:sz w:val="21"/>
              </w:rPr>
            </w:pPr>
          </w:p>
          <w:p w14:paraId="67FAF9FF">
            <w:pPr>
              <w:spacing w:line="252" w:lineRule="auto"/>
              <w:rPr>
                <w:rFonts w:ascii="Arial"/>
                <w:sz w:val="21"/>
              </w:rPr>
            </w:pPr>
          </w:p>
          <w:p w14:paraId="14CE6954">
            <w:pPr>
              <w:spacing w:line="252" w:lineRule="auto"/>
              <w:rPr>
                <w:rFonts w:ascii="Arial"/>
                <w:sz w:val="21"/>
              </w:rPr>
            </w:pPr>
          </w:p>
          <w:p w14:paraId="74A2430B">
            <w:pPr>
              <w:spacing w:line="252" w:lineRule="auto"/>
              <w:rPr>
                <w:rFonts w:ascii="Arial"/>
                <w:sz w:val="21"/>
              </w:rPr>
            </w:pPr>
          </w:p>
          <w:p w14:paraId="7697497F">
            <w:pPr>
              <w:spacing w:line="252" w:lineRule="auto"/>
              <w:rPr>
                <w:rFonts w:ascii="Arial"/>
                <w:sz w:val="21"/>
              </w:rPr>
            </w:pPr>
          </w:p>
          <w:p w14:paraId="434764ED">
            <w:pPr>
              <w:spacing w:line="252" w:lineRule="auto"/>
              <w:rPr>
                <w:rFonts w:ascii="Arial"/>
                <w:sz w:val="21"/>
              </w:rPr>
            </w:pPr>
          </w:p>
          <w:p w14:paraId="19744D31">
            <w:pPr>
              <w:spacing w:line="252" w:lineRule="auto"/>
              <w:rPr>
                <w:rFonts w:ascii="Arial"/>
                <w:sz w:val="21"/>
              </w:rPr>
            </w:pPr>
          </w:p>
          <w:p w14:paraId="2E839217">
            <w:pPr>
              <w:spacing w:line="252" w:lineRule="auto"/>
              <w:rPr>
                <w:rFonts w:ascii="Arial"/>
                <w:sz w:val="21"/>
              </w:rPr>
            </w:pPr>
          </w:p>
          <w:p w14:paraId="01D088DA">
            <w:pPr>
              <w:spacing w:line="252" w:lineRule="auto"/>
              <w:rPr>
                <w:rFonts w:ascii="Arial"/>
                <w:sz w:val="21"/>
              </w:rPr>
            </w:pPr>
          </w:p>
          <w:p w14:paraId="233EF49F">
            <w:pPr>
              <w:spacing w:line="252" w:lineRule="auto"/>
              <w:rPr>
                <w:rFonts w:ascii="Arial"/>
                <w:sz w:val="21"/>
              </w:rPr>
            </w:pPr>
          </w:p>
          <w:p w14:paraId="4ECFE0B5">
            <w:pPr>
              <w:spacing w:line="252" w:lineRule="auto"/>
              <w:rPr>
                <w:rFonts w:ascii="Arial"/>
                <w:sz w:val="21"/>
              </w:rPr>
            </w:pPr>
          </w:p>
          <w:p w14:paraId="4BD6758A">
            <w:pPr>
              <w:pStyle w:val="6"/>
              <w:spacing w:before="65" w:line="220" w:lineRule="auto"/>
              <w:ind w:left="54"/>
              <w:jc w:val="center"/>
              <w:rPr>
                <w:sz w:val="20"/>
                <w:szCs w:val="20"/>
              </w:rPr>
            </w:pPr>
            <w:r>
              <w:rPr>
                <w:spacing w:val="-5"/>
                <w:sz w:val="20"/>
                <w:szCs w:val="20"/>
              </w:rPr>
              <w:t>重</w:t>
            </w:r>
            <w:r>
              <w:rPr>
                <w:spacing w:val="34"/>
                <w:sz w:val="20"/>
                <w:szCs w:val="20"/>
              </w:rPr>
              <w:t xml:space="preserve"> </w:t>
            </w:r>
            <w:r>
              <w:rPr>
                <w:spacing w:val="-5"/>
                <w:sz w:val="20"/>
                <w:szCs w:val="20"/>
              </w:rPr>
              <w:t>大</w:t>
            </w:r>
          </w:p>
          <w:p w14:paraId="70E1A5AB">
            <w:pPr>
              <w:pStyle w:val="6"/>
              <w:spacing w:before="12" w:line="221" w:lineRule="auto"/>
              <w:ind w:left="124"/>
              <w:jc w:val="both"/>
              <w:rPr>
                <w:sz w:val="20"/>
                <w:szCs w:val="20"/>
              </w:rPr>
            </w:pPr>
            <w:r>
              <w:rPr>
                <w:spacing w:val="-6"/>
                <w:sz w:val="20"/>
                <w:szCs w:val="20"/>
              </w:rPr>
              <w:t>安</w:t>
            </w:r>
            <w:r>
              <w:rPr>
                <w:rFonts w:hint="eastAsia"/>
                <w:spacing w:val="-6"/>
                <w:sz w:val="20"/>
                <w:szCs w:val="20"/>
                <w:lang w:val="en-US" w:eastAsia="zh-CN"/>
              </w:rPr>
              <w:t xml:space="preserve">  </w:t>
            </w:r>
            <w:r>
              <w:rPr>
                <w:spacing w:val="-6"/>
                <w:sz w:val="20"/>
                <w:szCs w:val="20"/>
              </w:rPr>
              <w:t>全</w:t>
            </w:r>
          </w:p>
          <w:p w14:paraId="3EC0137D">
            <w:pPr>
              <w:pStyle w:val="6"/>
              <w:spacing w:before="8" w:line="245" w:lineRule="auto"/>
              <w:ind w:left="74" w:right="95" w:firstLine="49"/>
              <w:jc w:val="both"/>
              <w:rPr>
                <w:sz w:val="20"/>
                <w:szCs w:val="20"/>
              </w:rPr>
            </w:pPr>
            <w:r>
              <w:rPr>
                <w:spacing w:val="-10"/>
                <w:sz w:val="20"/>
                <w:szCs w:val="20"/>
              </w:rPr>
              <w:t>事</w:t>
            </w:r>
            <w:r>
              <w:rPr>
                <w:spacing w:val="11"/>
                <w:sz w:val="20"/>
                <w:szCs w:val="20"/>
              </w:rPr>
              <w:t xml:space="preserve"> </w:t>
            </w:r>
            <w:r>
              <w:rPr>
                <w:spacing w:val="-10"/>
                <w:sz w:val="20"/>
                <w:szCs w:val="20"/>
              </w:rPr>
              <w:t>故</w:t>
            </w:r>
            <w:r>
              <w:rPr>
                <w:sz w:val="20"/>
                <w:szCs w:val="20"/>
              </w:rPr>
              <w:t xml:space="preserve"> </w:t>
            </w:r>
            <w:r>
              <w:rPr>
                <w:spacing w:val="2"/>
                <w:sz w:val="20"/>
                <w:szCs w:val="20"/>
              </w:rPr>
              <w:t>(云服</w:t>
            </w:r>
            <w:r>
              <w:rPr>
                <w:sz w:val="20"/>
                <w:szCs w:val="20"/>
              </w:rPr>
              <w:t xml:space="preserve">  </w:t>
            </w:r>
            <w:r>
              <w:rPr>
                <w:spacing w:val="14"/>
                <w:sz w:val="20"/>
                <w:szCs w:val="20"/>
              </w:rPr>
              <w:t>务商</w:t>
            </w:r>
            <w:r>
              <w:rPr>
                <w:rFonts w:hint="eastAsia"/>
                <w:sz w:val="20"/>
                <w:szCs w:val="20"/>
                <w:lang w:val="en-US" w:eastAsia="zh-CN"/>
              </w:rPr>
              <w:t>主责</w:t>
            </w:r>
            <w:r>
              <w:rPr>
                <w:spacing w:val="31"/>
                <w:sz w:val="20"/>
                <w:szCs w:val="20"/>
              </w:rPr>
              <w:t>)</w:t>
            </w:r>
          </w:p>
        </w:tc>
        <w:tc>
          <w:tcPr>
            <w:tcW w:w="849" w:type="dxa"/>
            <w:vAlign w:val="top"/>
          </w:tcPr>
          <w:p w14:paraId="4E8617F9">
            <w:pPr>
              <w:spacing w:line="430" w:lineRule="auto"/>
              <w:rPr>
                <w:rFonts w:ascii="Arial"/>
                <w:sz w:val="21"/>
              </w:rPr>
            </w:pPr>
          </w:p>
          <w:p w14:paraId="41024436">
            <w:pPr>
              <w:pStyle w:val="6"/>
              <w:spacing w:before="65" w:line="233" w:lineRule="auto"/>
              <w:ind w:left="40" w:right="106" w:firstLine="70"/>
              <w:jc w:val="center"/>
              <w:rPr>
                <w:rFonts w:hint="default" w:eastAsia="宋体"/>
                <w:sz w:val="20"/>
                <w:szCs w:val="20"/>
                <w:lang w:val="en-US" w:eastAsia="zh-CN"/>
              </w:rPr>
            </w:pPr>
            <w:r>
              <w:rPr>
                <w:rFonts w:hint="eastAsia"/>
                <w:spacing w:val="7"/>
                <w:sz w:val="20"/>
                <w:szCs w:val="20"/>
                <w:lang w:val="en-US" w:eastAsia="zh-CN"/>
              </w:rPr>
              <w:t>服务中断</w:t>
            </w:r>
          </w:p>
        </w:tc>
        <w:tc>
          <w:tcPr>
            <w:tcW w:w="1218" w:type="dxa"/>
            <w:vAlign w:val="top"/>
          </w:tcPr>
          <w:p w14:paraId="7CF92194">
            <w:pPr>
              <w:spacing w:line="256" w:lineRule="auto"/>
              <w:rPr>
                <w:rFonts w:ascii="Arial"/>
                <w:sz w:val="21"/>
              </w:rPr>
            </w:pPr>
          </w:p>
          <w:p w14:paraId="71E77B14">
            <w:pPr>
              <w:spacing w:line="256" w:lineRule="auto"/>
              <w:rPr>
                <w:rFonts w:ascii="Arial"/>
                <w:sz w:val="21"/>
              </w:rPr>
            </w:pPr>
          </w:p>
          <w:p w14:paraId="63725E59">
            <w:pPr>
              <w:pStyle w:val="6"/>
              <w:spacing w:before="65" w:line="221" w:lineRule="auto"/>
              <w:ind w:left="101"/>
              <w:rPr>
                <w:sz w:val="20"/>
                <w:szCs w:val="20"/>
              </w:rPr>
            </w:pPr>
            <w:r>
              <w:rPr>
                <w:spacing w:val="1"/>
                <w:sz w:val="20"/>
                <w:szCs w:val="20"/>
              </w:rPr>
              <w:t>云平台整体</w:t>
            </w:r>
          </w:p>
        </w:tc>
        <w:tc>
          <w:tcPr>
            <w:tcW w:w="2696" w:type="dxa"/>
            <w:vAlign w:val="top"/>
          </w:tcPr>
          <w:p w14:paraId="3D195F73">
            <w:pPr>
              <w:pStyle w:val="6"/>
              <w:spacing w:before="248" w:line="236" w:lineRule="auto"/>
              <w:ind w:right="127"/>
              <w:rPr>
                <w:sz w:val="20"/>
                <w:szCs w:val="20"/>
              </w:rPr>
            </w:pPr>
            <w:r>
              <w:rPr>
                <w:spacing w:val="1"/>
                <w:sz w:val="20"/>
                <w:szCs w:val="20"/>
              </w:rPr>
              <w:t>因非不可抗力造成重要信息 系统中断或影响人数5万以</w:t>
            </w:r>
            <w:r>
              <w:rPr>
                <w:spacing w:val="-1"/>
                <w:sz w:val="20"/>
                <w:szCs w:val="20"/>
              </w:rPr>
              <w:t>上或导致50万元以上经济损失。</w:t>
            </w:r>
          </w:p>
        </w:tc>
        <w:tc>
          <w:tcPr>
            <w:tcW w:w="959" w:type="dxa"/>
            <w:vAlign w:val="top"/>
          </w:tcPr>
          <w:p w14:paraId="7DF0746B">
            <w:pPr>
              <w:spacing w:line="453" w:lineRule="auto"/>
              <w:rPr>
                <w:rFonts w:ascii="Arial"/>
                <w:sz w:val="21"/>
              </w:rPr>
            </w:pPr>
          </w:p>
          <w:p w14:paraId="474BB57F">
            <w:pPr>
              <w:pStyle w:val="6"/>
              <w:spacing w:before="65" w:line="226" w:lineRule="auto"/>
              <w:ind w:left="88" w:right="9"/>
              <w:rPr>
                <w:sz w:val="20"/>
                <w:szCs w:val="20"/>
              </w:rPr>
            </w:pPr>
            <w:r>
              <w:rPr>
                <w:spacing w:val="-14"/>
                <w:sz w:val="20"/>
                <w:szCs w:val="20"/>
              </w:rPr>
              <w:t>2小时</w:t>
            </w:r>
            <w:r>
              <w:rPr>
                <w:spacing w:val="4"/>
                <w:sz w:val="20"/>
                <w:szCs w:val="20"/>
              </w:rPr>
              <w:t>以上</w:t>
            </w:r>
          </w:p>
        </w:tc>
        <w:tc>
          <w:tcPr>
            <w:tcW w:w="755" w:type="dxa"/>
            <w:vMerge w:val="restart"/>
            <w:tcBorders>
              <w:bottom w:val="nil"/>
            </w:tcBorders>
            <w:vAlign w:val="top"/>
          </w:tcPr>
          <w:p w14:paraId="7A821743">
            <w:pPr>
              <w:spacing w:line="241" w:lineRule="auto"/>
              <w:rPr>
                <w:rFonts w:ascii="Arial"/>
                <w:sz w:val="21"/>
              </w:rPr>
            </w:pPr>
          </w:p>
          <w:p w14:paraId="6A84AAAE">
            <w:pPr>
              <w:spacing w:line="241" w:lineRule="auto"/>
              <w:rPr>
                <w:rFonts w:ascii="Arial"/>
                <w:sz w:val="21"/>
              </w:rPr>
            </w:pPr>
          </w:p>
          <w:p w14:paraId="03233989">
            <w:pPr>
              <w:spacing w:line="241" w:lineRule="auto"/>
              <w:rPr>
                <w:rFonts w:ascii="Arial"/>
                <w:sz w:val="21"/>
              </w:rPr>
            </w:pPr>
          </w:p>
          <w:p w14:paraId="55867C35">
            <w:pPr>
              <w:spacing w:line="241" w:lineRule="auto"/>
              <w:rPr>
                <w:rFonts w:ascii="Arial"/>
                <w:sz w:val="21"/>
              </w:rPr>
            </w:pPr>
          </w:p>
          <w:p w14:paraId="0960792F">
            <w:pPr>
              <w:spacing w:line="241" w:lineRule="auto"/>
              <w:rPr>
                <w:rFonts w:ascii="Arial"/>
                <w:sz w:val="21"/>
              </w:rPr>
            </w:pPr>
          </w:p>
          <w:p w14:paraId="095D58D0">
            <w:pPr>
              <w:spacing w:line="241" w:lineRule="auto"/>
              <w:rPr>
                <w:rFonts w:ascii="Arial"/>
                <w:sz w:val="21"/>
              </w:rPr>
            </w:pPr>
          </w:p>
          <w:p w14:paraId="4A1812E1">
            <w:pPr>
              <w:spacing w:line="241" w:lineRule="auto"/>
              <w:rPr>
                <w:rFonts w:ascii="Arial"/>
                <w:sz w:val="21"/>
              </w:rPr>
            </w:pPr>
          </w:p>
          <w:p w14:paraId="1CF50B87">
            <w:pPr>
              <w:spacing w:line="241" w:lineRule="auto"/>
              <w:rPr>
                <w:rFonts w:ascii="Arial"/>
                <w:sz w:val="21"/>
              </w:rPr>
            </w:pPr>
          </w:p>
          <w:p w14:paraId="0F9D062F">
            <w:pPr>
              <w:spacing w:line="241" w:lineRule="auto"/>
              <w:rPr>
                <w:rFonts w:ascii="Arial"/>
                <w:sz w:val="21"/>
              </w:rPr>
            </w:pPr>
          </w:p>
          <w:p w14:paraId="652D79CC">
            <w:pPr>
              <w:spacing w:line="242" w:lineRule="auto"/>
              <w:rPr>
                <w:rFonts w:ascii="Arial"/>
                <w:sz w:val="21"/>
              </w:rPr>
            </w:pPr>
          </w:p>
          <w:p w14:paraId="417F06A7">
            <w:pPr>
              <w:spacing w:line="242" w:lineRule="auto"/>
              <w:rPr>
                <w:rFonts w:ascii="Arial"/>
                <w:sz w:val="21"/>
              </w:rPr>
            </w:pPr>
          </w:p>
          <w:p w14:paraId="2CF6D2D5">
            <w:pPr>
              <w:spacing w:line="242" w:lineRule="auto"/>
              <w:rPr>
                <w:rFonts w:ascii="Arial"/>
                <w:sz w:val="21"/>
              </w:rPr>
            </w:pPr>
          </w:p>
          <w:p w14:paraId="445CFBB5">
            <w:pPr>
              <w:spacing w:line="242" w:lineRule="auto"/>
              <w:rPr>
                <w:rFonts w:ascii="Arial"/>
                <w:sz w:val="21"/>
              </w:rPr>
            </w:pPr>
          </w:p>
          <w:p w14:paraId="2F6EC516">
            <w:pPr>
              <w:pStyle w:val="6"/>
              <w:spacing w:before="65" w:line="221" w:lineRule="auto"/>
              <w:ind w:left="118"/>
              <w:rPr>
                <w:sz w:val="20"/>
                <w:szCs w:val="20"/>
              </w:rPr>
            </w:pPr>
            <w:r>
              <w:rPr>
                <w:spacing w:val="-1"/>
                <w:sz w:val="20"/>
                <w:szCs w:val="20"/>
              </w:rPr>
              <w:t>A级</w:t>
            </w:r>
          </w:p>
        </w:tc>
        <w:tc>
          <w:tcPr>
            <w:tcW w:w="682" w:type="dxa"/>
            <w:vMerge w:val="restart"/>
            <w:tcBorders>
              <w:bottom w:val="nil"/>
            </w:tcBorders>
            <w:vAlign w:val="top"/>
          </w:tcPr>
          <w:p w14:paraId="72B8787A">
            <w:pPr>
              <w:pStyle w:val="6"/>
              <w:spacing w:before="131" w:line="196" w:lineRule="auto"/>
              <w:ind w:left="3076"/>
              <w:rPr>
                <w:sz w:val="20"/>
                <w:szCs w:val="20"/>
              </w:rPr>
            </w:pPr>
          </w:p>
          <w:p w14:paraId="4E21D312">
            <w:pPr>
              <w:bidi w:val="0"/>
            </w:pPr>
          </w:p>
          <w:p w14:paraId="5B0621BD">
            <w:pPr>
              <w:bidi w:val="0"/>
            </w:pPr>
          </w:p>
          <w:p w14:paraId="1324EFFD">
            <w:pPr>
              <w:bidi w:val="0"/>
            </w:pPr>
          </w:p>
          <w:p w14:paraId="6135F02A">
            <w:pPr>
              <w:bidi w:val="0"/>
            </w:pPr>
          </w:p>
          <w:p w14:paraId="2D0FA98B">
            <w:pPr>
              <w:bidi w:val="0"/>
            </w:pPr>
          </w:p>
          <w:p w14:paraId="2E1A79AB">
            <w:pPr>
              <w:bidi w:val="0"/>
            </w:pPr>
          </w:p>
          <w:p w14:paraId="7A0C4D7E">
            <w:pPr>
              <w:bidi w:val="0"/>
            </w:pPr>
          </w:p>
          <w:p w14:paraId="28A7280C">
            <w:pPr>
              <w:bidi w:val="0"/>
            </w:pPr>
          </w:p>
          <w:p w14:paraId="3ECDE613">
            <w:pPr>
              <w:bidi w:val="0"/>
            </w:pPr>
          </w:p>
          <w:p w14:paraId="41858A42">
            <w:pPr>
              <w:bidi w:val="0"/>
            </w:pPr>
          </w:p>
          <w:p w14:paraId="2C8EB5B7">
            <w:pPr>
              <w:bidi w:val="0"/>
            </w:pPr>
          </w:p>
          <w:p w14:paraId="64D14D70">
            <w:pPr>
              <w:bidi w:val="0"/>
              <w:jc w:val="center"/>
              <w:rPr>
                <w:rFonts w:hint="default" w:eastAsiaTheme="minorEastAsia"/>
                <w:lang w:val="en-US" w:eastAsia="zh-CN"/>
              </w:rPr>
            </w:pPr>
            <w:r>
              <w:rPr>
                <w:rFonts w:hint="eastAsia"/>
                <w:lang w:val="en-US" w:eastAsia="zh-CN"/>
              </w:rPr>
              <w:t>1次</w:t>
            </w:r>
          </w:p>
        </w:tc>
      </w:tr>
      <w:tr w14:paraId="328F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84" w:type="dxa"/>
            <w:vMerge w:val="continue"/>
            <w:tcBorders>
              <w:top w:val="nil"/>
              <w:bottom w:val="nil"/>
            </w:tcBorders>
            <w:vAlign w:val="top"/>
          </w:tcPr>
          <w:p w14:paraId="4ED96B40">
            <w:pPr>
              <w:rPr>
                <w:rFonts w:ascii="Arial"/>
                <w:sz w:val="21"/>
              </w:rPr>
            </w:pPr>
          </w:p>
        </w:tc>
        <w:tc>
          <w:tcPr>
            <w:tcW w:w="849" w:type="dxa"/>
            <w:vAlign w:val="top"/>
          </w:tcPr>
          <w:p w14:paraId="78F2587A">
            <w:pPr>
              <w:spacing w:line="257" w:lineRule="auto"/>
              <w:rPr>
                <w:rFonts w:ascii="Arial"/>
                <w:sz w:val="21"/>
              </w:rPr>
            </w:pPr>
          </w:p>
          <w:p w14:paraId="0FCE2177">
            <w:pPr>
              <w:spacing w:line="257" w:lineRule="auto"/>
              <w:rPr>
                <w:rFonts w:ascii="Arial"/>
                <w:sz w:val="21"/>
              </w:rPr>
            </w:pPr>
          </w:p>
          <w:p w14:paraId="25AFCEC6">
            <w:pPr>
              <w:spacing w:line="257" w:lineRule="auto"/>
              <w:rPr>
                <w:rFonts w:ascii="Arial"/>
                <w:sz w:val="21"/>
              </w:rPr>
            </w:pPr>
          </w:p>
          <w:p w14:paraId="49B4E116">
            <w:pPr>
              <w:pStyle w:val="6"/>
              <w:spacing w:before="65" w:line="220" w:lineRule="auto"/>
              <w:ind w:left="111"/>
              <w:jc w:val="center"/>
              <w:rPr>
                <w:sz w:val="20"/>
                <w:szCs w:val="20"/>
              </w:rPr>
            </w:pPr>
            <w:r>
              <w:rPr>
                <w:spacing w:val="-2"/>
                <w:sz w:val="20"/>
                <w:szCs w:val="20"/>
              </w:rPr>
              <w:t>重大篡</w:t>
            </w:r>
          </w:p>
          <w:p w14:paraId="6879E15D">
            <w:pPr>
              <w:pStyle w:val="6"/>
              <w:spacing w:before="21" w:line="219" w:lineRule="auto"/>
              <w:ind w:left="111"/>
              <w:jc w:val="center"/>
              <w:rPr>
                <w:sz w:val="20"/>
                <w:szCs w:val="20"/>
              </w:rPr>
            </w:pPr>
            <w:r>
              <w:rPr>
                <w:spacing w:val="2"/>
                <w:sz w:val="20"/>
                <w:szCs w:val="20"/>
              </w:rPr>
              <w:t>改事件</w:t>
            </w:r>
          </w:p>
        </w:tc>
        <w:tc>
          <w:tcPr>
            <w:tcW w:w="1218" w:type="dxa"/>
            <w:vAlign w:val="top"/>
          </w:tcPr>
          <w:p w14:paraId="1F881EF1">
            <w:pPr>
              <w:spacing w:line="280" w:lineRule="auto"/>
              <w:rPr>
                <w:rFonts w:ascii="Arial"/>
                <w:sz w:val="21"/>
              </w:rPr>
            </w:pPr>
          </w:p>
          <w:p w14:paraId="097A5DB2">
            <w:pPr>
              <w:spacing w:line="280" w:lineRule="auto"/>
              <w:rPr>
                <w:rFonts w:ascii="Arial"/>
                <w:sz w:val="21"/>
              </w:rPr>
            </w:pPr>
          </w:p>
          <w:p w14:paraId="7DEC5BC9">
            <w:pPr>
              <w:pStyle w:val="6"/>
              <w:spacing w:before="65" w:line="219" w:lineRule="auto"/>
              <w:jc w:val="center"/>
              <w:rPr>
                <w:sz w:val="20"/>
                <w:szCs w:val="20"/>
              </w:rPr>
            </w:pPr>
            <w:r>
              <w:rPr>
                <w:spacing w:val="-2"/>
                <w:sz w:val="20"/>
                <w:szCs w:val="20"/>
              </w:rPr>
              <w:t>信息系统</w:t>
            </w:r>
          </w:p>
        </w:tc>
        <w:tc>
          <w:tcPr>
            <w:tcW w:w="2696" w:type="dxa"/>
            <w:vAlign w:val="top"/>
          </w:tcPr>
          <w:p w14:paraId="55D3B97C">
            <w:pPr>
              <w:pStyle w:val="6"/>
              <w:spacing w:before="65" w:line="241" w:lineRule="auto"/>
              <w:jc w:val="both"/>
              <w:rPr>
                <w:sz w:val="20"/>
                <w:szCs w:val="20"/>
              </w:rPr>
            </w:pPr>
            <w:r>
              <w:rPr>
                <w:spacing w:val="-1"/>
                <w:sz w:val="20"/>
                <w:szCs w:val="20"/>
              </w:rPr>
              <w:t>在重大或特别重大保障期间，</w:t>
            </w:r>
            <w:r>
              <w:rPr>
                <w:spacing w:val="3"/>
                <w:sz w:val="20"/>
                <w:szCs w:val="20"/>
              </w:rPr>
              <w:t xml:space="preserve"> </w:t>
            </w:r>
            <w:r>
              <w:rPr>
                <w:spacing w:val="5"/>
                <w:sz w:val="20"/>
                <w:szCs w:val="20"/>
              </w:rPr>
              <w:t>因云服务商的安全隐患原因</w:t>
            </w:r>
            <w:r>
              <w:rPr>
                <w:sz w:val="20"/>
                <w:szCs w:val="20"/>
              </w:rPr>
              <w:t xml:space="preserve">  </w:t>
            </w:r>
            <w:r>
              <w:rPr>
                <w:spacing w:val="-1"/>
                <w:sz w:val="20"/>
                <w:szCs w:val="20"/>
              </w:rPr>
              <w:t>造成的系统被恶意篡改事件。</w:t>
            </w:r>
          </w:p>
          <w:p w14:paraId="7050C71B">
            <w:pPr>
              <w:pStyle w:val="6"/>
              <w:spacing w:before="5" w:line="238" w:lineRule="auto"/>
              <w:ind w:right="48"/>
              <w:rPr>
                <w:sz w:val="20"/>
                <w:szCs w:val="20"/>
              </w:rPr>
            </w:pPr>
            <w:r>
              <w:rPr>
                <w:spacing w:val="-1"/>
                <w:sz w:val="20"/>
                <w:szCs w:val="20"/>
              </w:rPr>
              <w:t>事件发生后云服务商未及时</w:t>
            </w:r>
            <w:r>
              <w:rPr>
                <w:spacing w:val="1"/>
                <w:sz w:val="20"/>
                <w:szCs w:val="20"/>
              </w:rPr>
              <w:t xml:space="preserve">  </w:t>
            </w:r>
            <w:r>
              <w:rPr>
                <w:spacing w:val="-1"/>
                <w:sz w:val="20"/>
                <w:szCs w:val="20"/>
              </w:rPr>
              <w:t>进行处置，造成信息安全事件</w:t>
            </w:r>
            <w:r>
              <w:rPr>
                <w:spacing w:val="5"/>
                <w:sz w:val="20"/>
                <w:szCs w:val="20"/>
              </w:rPr>
              <w:t xml:space="preserve"> </w:t>
            </w:r>
            <w:r>
              <w:rPr>
                <w:spacing w:val="10"/>
                <w:sz w:val="20"/>
                <w:szCs w:val="20"/>
              </w:rPr>
              <w:t>处置延误。</w:t>
            </w:r>
          </w:p>
        </w:tc>
        <w:tc>
          <w:tcPr>
            <w:tcW w:w="959" w:type="dxa"/>
            <w:vAlign w:val="top"/>
          </w:tcPr>
          <w:p w14:paraId="352CF7B9">
            <w:pPr>
              <w:spacing w:line="256" w:lineRule="auto"/>
              <w:rPr>
                <w:rFonts w:ascii="Arial"/>
                <w:sz w:val="21"/>
              </w:rPr>
            </w:pPr>
          </w:p>
          <w:p w14:paraId="42B324F1">
            <w:pPr>
              <w:spacing w:line="257" w:lineRule="auto"/>
              <w:rPr>
                <w:rFonts w:ascii="Arial"/>
                <w:sz w:val="21"/>
              </w:rPr>
            </w:pPr>
          </w:p>
          <w:p w14:paraId="22EE6DE7">
            <w:pPr>
              <w:spacing w:line="257" w:lineRule="auto"/>
              <w:rPr>
                <w:rFonts w:ascii="Arial"/>
                <w:sz w:val="21"/>
              </w:rPr>
            </w:pPr>
          </w:p>
          <w:p w14:paraId="3583044F">
            <w:pPr>
              <w:pStyle w:val="6"/>
              <w:spacing w:before="65" w:line="255" w:lineRule="auto"/>
              <w:ind w:left="88" w:right="34" w:firstLine="9"/>
              <w:rPr>
                <w:sz w:val="20"/>
                <w:szCs w:val="20"/>
              </w:rPr>
            </w:pPr>
            <w:r>
              <w:rPr>
                <w:spacing w:val="-10"/>
                <w:sz w:val="20"/>
                <w:szCs w:val="20"/>
              </w:rPr>
              <w:t>3</w:t>
            </w:r>
            <w:r>
              <w:rPr>
                <w:spacing w:val="-15"/>
                <w:sz w:val="20"/>
                <w:szCs w:val="20"/>
              </w:rPr>
              <w:t xml:space="preserve"> </w:t>
            </w:r>
            <w:r>
              <w:rPr>
                <w:spacing w:val="-10"/>
                <w:sz w:val="20"/>
                <w:szCs w:val="20"/>
              </w:rPr>
              <w:t>0</w:t>
            </w:r>
            <w:r>
              <w:rPr>
                <w:spacing w:val="-14"/>
                <w:sz w:val="20"/>
                <w:szCs w:val="20"/>
              </w:rPr>
              <w:t xml:space="preserve"> </w:t>
            </w:r>
            <w:r>
              <w:rPr>
                <w:spacing w:val="-10"/>
                <w:sz w:val="20"/>
                <w:szCs w:val="20"/>
              </w:rPr>
              <w:t>分</w:t>
            </w:r>
            <w:r>
              <w:rPr>
                <w:spacing w:val="-16"/>
                <w:sz w:val="20"/>
                <w:szCs w:val="20"/>
              </w:rPr>
              <w:t xml:space="preserve"> </w:t>
            </w:r>
            <w:r>
              <w:rPr>
                <w:spacing w:val="-10"/>
                <w:sz w:val="20"/>
                <w:szCs w:val="20"/>
              </w:rPr>
              <w:t>钟</w:t>
            </w:r>
            <w:r>
              <w:rPr>
                <w:sz w:val="20"/>
                <w:szCs w:val="20"/>
              </w:rPr>
              <w:t xml:space="preserve"> </w:t>
            </w:r>
            <w:r>
              <w:rPr>
                <w:spacing w:val="4"/>
                <w:sz w:val="20"/>
                <w:szCs w:val="20"/>
              </w:rPr>
              <w:t>以上</w:t>
            </w:r>
          </w:p>
        </w:tc>
        <w:tc>
          <w:tcPr>
            <w:tcW w:w="755" w:type="dxa"/>
            <w:vMerge w:val="continue"/>
            <w:tcBorders>
              <w:top w:val="nil"/>
              <w:bottom w:val="nil"/>
            </w:tcBorders>
            <w:vAlign w:val="top"/>
          </w:tcPr>
          <w:p w14:paraId="62F0F4E3">
            <w:pPr>
              <w:rPr>
                <w:rFonts w:ascii="Arial"/>
                <w:sz w:val="21"/>
              </w:rPr>
            </w:pPr>
          </w:p>
        </w:tc>
        <w:tc>
          <w:tcPr>
            <w:tcW w:w="682" w:type="dxa"/>
            <w:vMerge w:val="continue"/>
            <w:tcBorders>
              <w:top w:val="nil"/>
              <w:bottom w:val="nil"/>
            </w:tcBorders>
            <w:textDirection w:val="tbRlV"/>
            <w:vAlign w:val="top"/>
          </w:tcPr>
          <w:p w14:paraId="6CA6D98B">
            <w:pPr>
              <w:rPr>
                <w:rFonts w:ascii="Arial"/>
                <w:sz w:val="21"/>
              </w:rPr>
            </w:pPr>
          </w:p>
        </w:tc>
      </w:tr>
      <w:tr w14:paraId="2E12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784" w:type="dxa"/>
            <w:vMerge w:val="continue"/>
            <w:tcBorders>
              <w:top w:val="nil"/>
              <w:bottom w:val="nil"/>
            </w:tcBorders>
            <w:vAlign w:val="top"/>
          </w:tcPr>
          <w:p w14:paraId="05BB1C81">
            <w:pPr>
              <w:rPr>
                <w:rFonts w:ascii="Arial"/>
                <w:sz w:val="21"/>
              </w:rPr>
            </w:pPr>
          </w:p>
        </w:tc>
        <w:tc>
          <w:tcPr>
            <w:tcW w:w="849" w:type="dxa"/>
            <w:vAlign w:val="top"/>
          </w:tcPr>
          <w:p w14:paraId="14C745B3">
            <w:pPr>
              <w:spacing w:line="434" w:lineRule="auto"/>
              <w:rPr>
                <w:rFonts w:ascii="Arial"/>
                <w:sz w:val="21"/>
              </w:rPr>
            </w:pPr>
          </w:p>
          <w:p w14:paraId="1B18BC4B">
            <w:pPr>
              <w:pStyle w:val="6"/>
              <w:spacing w:before="65" w:line="244" w:lineRule="auto"/>
              <w:ind w:left="81" w:right="116" w:firstLine="29"/>
              <w:jc w:val="center"/>
              <w:rPr>
                <w:sz w:val="20"/>
                <w:szCs w:val="20"/>
              </w:rPr>
            </w:pPr>
            <w:r>
              <w:rPr>
                <w:spacing w:val="3"/>
                <w:sz w:val="20"/>
                <w:szCs w:val="20"/>
              </w:rPr>
              <w:t>数据丢</w:t>
            </w:r>
            <w:r>
              <w:rPr>
                <w:sz w:val="20"/>
                <w:szCs w:val="20"/>
              </w:rPr>
              <w:t>失</w:t>
            </w:r>
          </w:p>
        </w:tc>
        <w:tc>
          <w:tcPr>
            <w:tcW w:w="1218" w:type="dxa"/>
            <w:vAlign w:val="top"/>
          </w:tcPr>
          <w:p w14:paraId="07FF5C07">
            <w:pPr>
              <w:pStyle w:val="6"/>
              <w:spacing w:before="192" w:line="219" w:lineRule="auto"/>
              <w:ind w:left="101"/>
              <w:rPr>
                <w:sz w:val="20"/>
                <w:szCs w:val="20"/>
              </w:rPr>
            </w:pPr>
            <w:r>
              <w:rPr>
                <w:spacing w:val="-2"/>
                <w:sz w:val="20"/>
                <w:szCs w:val="20"/>
              </w:rPr>
              <w:t>等保三级或</w:t>
            </w:r>
          </w:p>
          <w:p w14:paraId="188DB4C5">
            <w:pPr>
              <w:pStyle w:val="6"/>
              <w:spacing w:before="21" w:line="267" w:lineRule="auto"/>
              <w:ind w:left="91" w:right="87" w:firstLine="9"/>
              <w:jc w:val="both"/>
              <w:rPr>
                <w:sz w:val="20"/>
                <w:szCs w:val="20"/>
              </w:rPr>
            </w:pPr>
            <w:r>
              <w:rPr>
                <w:spacing w:val="3"/>
                <w:sz w:val="20"/>
                <w:szCs w:val="20"/>
              </w:rPr>
              <w:t>重要信息系</w:t>
            </w:r>
            <w:r>
              <w:rPr>
                <w:spacing w:val="-1"/>
                <w:sz w:val="20"/>
                <w:szCs w:val="20"/>
              </w:rPr>
              <w:t>统的核心业</w:t>
            </w:r>
            <w:r>
              <w:rPr>
                <w:spacing w:val="3"/>
                <w:sz w:val="20"/>
                <w:szCs w:val="20"/>
              </w:rPr>
              <w:t>务数据</w:t>
            </w:r>
          </w:p>
        </w:tc>
        <w:tc>
          <w:tcPr>
            <w:tcW w:w="2696" w:type="dxa"/>
            <w:vAlign w:val="center"/>
          </w:tcPr>
          <w:p w14:paraId="3D814398">
            <w:pPr>
              <w:pStyle w:val="6"/>
              <w:spacing w:before="65" w:line="237" w:lineRule="auto"/>
              <w:ind w:right="32"/>
              <w:jc w:val="center"/>
              <w:rPr>
                <w:sz w:val="20"/>
                <w:szCs w:val="20"/>
              </w:rPr>
            </w:pPr>
            <w:r>
              <w:rPr>
                <w:spacing w:val="1"/>
                <w:sz w:val="20"/>
                <w:szCs w:val="20"/>
              </w:rPr>
              <w:t>因非不可抗力造成重要信息</w:t>
            </w:r>
            <w:r>
              <w:rPr>
                <w:sz w:val="20"/>
                <w:szCs w:val="20"/>
              </w:rPr>
              <w:t xml:space="preserve">  系统丢失数据，且确认无法恢</w:t>
            </w:r>
            <w:r>
              <w:rPr>
                <w:spacing w:val="8"/>
                <w:sz w:val="20"/>
                <w:szCs w:val="20"/>
              </w:rPr>
              <w:t xml:space="preserve"> </w:t>
            </w:r>
            <w:r>
              <w:rPr>
                <w:spacing w:val="30"/>
                <w:sz w:val="20"/>
                <w:szCs w:val="20"/>
              </w:rPr>
              <w:t>复。</w:t>
            </w:r>
          </w:p>
        </w:tc>
        <w:tc>
          <w:tcPr>
            <w:tcW w:w="959" w:type="dxa"/>
            <w:vAlign w:val="top"/>
          </w:tcPr>
          <w:p w14:paraId="49DCE2A4">
            <w:pPr>
              <w:spacing w:line="308" w:lineRule="auto"/>
              <w:rPr>
                <w:rFonts w:ascii="Arial"/>
                <w:sz w:val="21"/>
              </w:rPr>
            </w:pPr>
          </w:p>
          <w:p w14:paraId="4523D130">
            <w:pPr>
              <w:spacing w:line="309" w:lineRule="auto"/>
              <w:rPr>
                <w:rFonts w:ascii="Arial"/>
                <w:sz w:val="21"/>
              </w:rPr>
            </w:pPr>
          </w:p>
          <w:p w14:paraId="619CA146">
            <w:pPr>
              <w:pStyle w:val="6"/>
              <w:spacing w:before="65" w:line="136" w:lineRule="exact"/>
              <w:ind w:left="88"/>
              <w:rPr>
                <w:sz w:val="20"/>
                <w:szCs w:val="20"/>
              </w:rPr>
            </w:pPr>
            <w:r>
              <w:rPr>
                <w:spacing w:val="-5"/>
                <w:w w:val="53"/>
                <w:position w:val="-3"/>
                <w:sz w:val="20"/>
                <w:szCs w:val="20"/>
              </w:rPr>
              <w:t>—</w:t>
            </w:r>
            <w:r>
              <w:rPr>
                <w:position w:val="-3"/>
                <w:sz w:val="20"/>
                <w:szCs w:val="20"/>
              </w:rPr>
              <w:t>—</w:t>
            </w:r>
          </w:p>
        </w:tc>
        <w:tc>
          <w:tcPr>
            <w:tcW w:w="755" w:type="dxa"/>
            <w:vMerge w:val="continue"/>
            <w:tcBorders>
              <w:top w:val="nil"/>
              <w:bottom w:val="nil"/>
            </w:tcBorders>
            <w:vAlign w:val="top"/>
          </w:tcPr>
          <w:p w14:paraId="33F21815">
            <w:pPr>
              <w:rPr>
                <w:rFonts w:ascii="Arial"/>
                <w:sz w:val="21"/>
              </w:rPr>
            </w:pPr>
          </w:p>
        </w:tc>
        <w:tc>
          <w:tcPr>
            <w:tcW w:w="682" w:type="dxa"/>
            <w:vMerge w:val="continue"/>
            <w:tcBorders>
              <w:top w:val="nil"/>
              <w:bottom w:val="nil"/>
            </w:tcBorders>
            <w:textDirection w:val="tbRlV"/>
            <w:vAlign w:val="top"/>
          </w:tcPr>
          <w:p w14:paraId="0FF08650">
            <w:pPr>
              <w:rPr>
                <w:rFonts w:ascii="Arial"/>
                <w:sz w:val="21"/>
              </w:rPr>
            </w:pPr>
          </w:p>
        </w:tc>
      </w:tr>
      <w:tr w14:paraId="468D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784" w:type="dxa"/>
            <w:vMerge w:val="continue"/>
            <w:tcBorders>
              <w:top w:val="nil"/>
              <w:bottom w:val="nil"/>
            </w:tcBorders>
            <w:vAlign w:val="top"/>
          </w:tcPr>
          <w:p w14:paraId="27A762FC">
            <w:pPr>
              <w:rPr>
                <w:rFonts w:ascii="Arial"/>
                <w:sz w:val="21"/>
              </w:rPr>
            </w:pPr>
          </w:p>
        </w:tc>
        <w:tc>
          <w:tcPr>
            <w:tcW w:w="849" w:type="dxa"/>
            <w:vAlign w:val="top"/>
          </w:tcPr>
          <w:p w14:paraId="78EC21B2">
            <w:pPr>
              <w:rPr>
                <w:rFonts w:ascii="Arial"/>
                <w:sz w:val="21"/>
              </w:rPr>
            </w:pPr>
          </w:p>
          <w:p w14:paraId="3CD621B4">
            <w:pPr>
              <w:rPr>
                <w:rFonts w:ascii="Arial"/>
                <w:sz w:val="21"/>
              </w:rPr>
            </w:pPr>
          </w:p>
          <w:p w14:paraId="05259080">
            <w:pPr>
              <w:spacing w:line="241" w:lineRule="auto"/>
              <w:rPr>
                <w:rFonts w:ascii="Arial"/>
                <w:sz w:val="21"/>
              </w:rPr>
            </w:pPr>
          </w:p>
          <w:p w14:paraId="43863C0B">
            <w:pPr>
              <w:pStyle w:val="6"/>
              <w:spacing w:before="65" w:line="216" w:lineRule="auto"/>
              <w:ind w:left="111"/>
              <w:rPr>
                <w:sz w:val="20"/>
                <w:szCs w:val="20"/>
              </w:rPr>
            </w:pPr>
            <w:r>
              <w:rPr>
                <w:spacing w:val="-2"/>
                <w:sz w:val="20"/>
                <w:szCs w:val="20"/>
              </w:rPr>
              <w:t>恶意入</w:t>
            </w:r>
          </w:p>
          <w:p w14:paraId="7FB748A2">
            <w:pPr>
              <w:pStyle w:val="6"/>
              <w:spacing w:line="220" w:lineRule="auto"/>
              <w:ind w:left="111"/>
              <w:rPr>
                <w:sz w:val="20"/>
                <w:szCs w:val="20"/>
              </w:rPr>
            </w:pPr>
            <w:r>
              <w:rPr>
                <w:spacing w:val="-3"/>
                <w:sz w:val="20"/>
                <w:szCs w:val="20"/>
              </w:rPr>
              <w:t>侵攻击</w:t>
            </w:r>
          </w:p>
        </w:tc>
        <w:tc>
          <w:tcPr>
            <w:tcW w:w="1218" w:type="dxa"/>
            <w:vAlign w:val="top"/>
          </w:tcPr>
          <w:p w14:paraId="0B890C2D">
            <w:pPr>
              <w:spacing w:line="292" w:lineRule="auto"/>
              <w:rPr>
                <w:rFonts w:ascii="Arial"/>
                <w:sz w:val="21"/>
              </w:rPr>
            </w:pPr>
          </w:p>
          <w:p w14:paraId="0095C0DD">
            <w:pPr>
              <w:spacing w:line="292" w:lineRule="auto"/>
              <w:rPr>
                <w:rFonts w:ascii="Arial"/>
                <w:sz w:val="21"/>
              </w:rPr>
            </w:pPr>
          </w:p>
          <w:p w14:paraId="62E6FC2B">
            <w:pPr>
              <w:pStyle w:val="6"/>
              <w:spacing w:before="65" w:line="219" w:lineRule="auto"/>
              <w:ind w:left="101"/>
              <w:jc w:val="center"/>
              <w:rPr>
                <w:sz w:val="20"/>
                <w:szCs w:val="20"/>
              </w:rPr>
            </w:pPr>
            <w:r>
              <w:rPr>
                <w:spacing w:val="-2"/>
                <w:sz w:val="20"/>
                <w:szCs w:val="20"/>
              </w:rPr>
              <w:t>等保三级或</w:t>
            </w:r>
          </w:p>
          <w:p w14:paraId="18A99A6B">
            <w:pPr>
              <w:pStyle w:val="6"/>
              <w:spacing w:before="12" w:line="235" w:lineRule="auto"/>
              <w:ind w:left="91" w:right="87" w:firstLine="9"/>
              <w:jc w:val="center"/>
              <w:rPr>
                <w:sz w:val="20"/>
                <w:szCs w:val="20"/>
              </w:rPr>
            </w:pPr>
            <w:r>
              <w:rPr>
                <w:spacing w:val="3"/>
                <w:sz w:val="20"/>
                <w:szCs w:val="20"/>
              </w:rPr>
              <w:t>重要信息系</w:t>
            </w:r>
            <w:r>
              <w:rPr>
                <w:sz w:val="20"/>
                <w:szCs w:val="20"/>
              </w:rPr>
              <w:t>统</w:t>
            </w:r>
          </w:p>
        </w:tc>
        <w:tc>
          <w:tcPr>
            <w:tcW w:w="2696" w:type="dxa"/>
            <w:vAlign w:val="top"/>
          </w:tcPr>
          <w:p w14:paraId="637239E9">
            <w:pPr>
              <w:pStyle w:val="6"/>
              <w:spacing w:before="122" w:line="219" w:lineRule="auto"/>
              <w:rPr>
                <w:sz w:val="20"/>
                <w:szCs w:val="20"/>
              </w:rPr>
            </w:pPr>
            <w:r>
              <w:rPr>
                <w:spacing w:val="-1"/>
                <w:sz w:val="20"/>
                <w:szCs w:val="20"/>
              </w:rPr>
              <w:t>被第三方安全机构通报云平</w:t>
            </w:r>
          </w:p>
          <w:p w14:paraId="423E073E">
            <w:pPr>
              <w:pStyle w:val="6"/>
              <w:spacing w:before="34" w:line="219" w:lineRule="auto"/>
              <w:ind w:left="43"/>
              <w:rPr>
                <w:sz w:val="20"/>
                <w:szCs w:val="20"/>
              </w:rPr>
            </w:pPr>
            <w:r>
              <w:rPr>
                <w:sz w:val="20"/>
                <w:szCs w:val="20"/>
              </w:rPr>
              <w:t>台存在安全隐患，云服务商未</w:t>
            </w:r>
          </w:p>
          <w:p w14:paraId="12B57C66">
            <w:pPr>
              <w:pStyle w:val="6"/>
              <w:spacing w:before="12" w:line="219" w:lineRule="auto"/>
              <w:rPr>
                <w:sz w:val="20"/>
                <w:szCs w:val="20"/>
              </w:rPr>
            </w:pPr>
            <w:r>
              <w:rPr>
                <w:spacing w:val="-1"/>
                <w:sz w:val="20"/>
                <w:szCs w:val="20"/>
              </w:rPr>
              <w:t>在4小时内做有效处置或应</w:t>
            </w:r>
            <w:r>
              <w:rPr>
                <w:sz w:val="20"/>
                <w:szCs w:val="20"/>
              </w:rPr>
              <w:t>急防护措施，造成信息系统在</w:t>
            </w:r>
            <w:r>
              <w:rPr>
                <w:spacing w:val="-1"/>
                <w:sz w:val="20"/>
                <w:szCs w:val="20"/>
              </w:rPr>
              <w:t>重大或特别重大保障期间被恶意篡改或敏感信息泄露事</w:t>
            </w:r>
            <w:r>
              <w:rPr>
                <w:sz w:val="20"/>
                <w:szCs w:val="20"/>
              </w:rPr>
              <w:t>件。</w:t>
            </w:r>
          </w:p>
        </w:tc>
        <w:tc>
          <w:tcPr>
            <w:tcW w:w="959" w:type="dxa"/>
            <w:vAlign w:val="top"/>
          </w:tcPr>
          <w:p w14:paraId="353020E3">
            <w:pPr>
              <w:spacing w:line="298" w:lineRule="auto"/>
              <w:rPr>
                <w:rFonts w:ascii="Arial"/>
                <w:sz w:val="21"/>
              </w:rPr>
            </w:pPr>
          </w:p>
          <w:p w14:paraId="5A014FEE">
            <w:pPr>
              <w:spacing w:line="299" w:lineRule="auto"/>
              <w:rPr>
                <w:rFonts w:ascii="Arial"/>
                <w:sz w:val="21"/>
              </w:rPr>
            </w:pPr>
          </w:p>
          <w:p w14:paraId="0B612E7E">
            <w:pPr>
              <w:spacing w:line="299" w:lineRule="auto"/>
              <w:rPr>
                <w:rFonts w:ascii="Arial"/>
                <w:sz w:val="21"/>
              </w:rPr>
            </w:pPr>
          </w:p>
          <w:p w14:paraId="0740A94B">
            <w:pPr>
              <w:pStyle w:val="6"/>
              <w:spacing w:before="65" w:line="136" w:lineRule="exact"/>
              <w:ind w:left="88"/>
              <w:rPr>
                <w:sz w:val="20"/>
                <w:szCs w:val="20"/>
              </w:rPr>
            </w:pPr>
            <w:r>
              <w:rPr>
                <w:spacing w:val="-5"/>
                <w:w w:val="53"/>
                <w:position w:val="-3"/>
                <w:sz w:val="20"/>
                <w:szCs w:val="20"/>
              </w:rPr>
              <w:t>—</w:t>
            </w:r>
            <w:r>
              <w:rPr>
                <w:position w:val="-3"/>
                <w:sz w:val="20"/>
                <w:szCs w:val="20"/>
              </w:rPr>
              <w:t>—</w:t>
            </w:r>
          </w:p>
        </w:tc>
        <w:tc>
          <w:tcPr>
            <w:tcW w:w="755" w:type="dxa"/>
            <w:vMerge w:val="continue"/>
            <w:tcBorders>
              <w:top w:val="nil"/>
            </w:tcBorders>
            <w:vAlign w:val="top"/>
          </w:tcPr>
          <w:p w14:paraId="625E1FAC">
            <w:pPr>
              <w:rPr>
                <w:rFonts w:ascii="Arial"/>
                <w:sz w:val="21"/>
              </w:rPr>
            </w:pPr>
          </w:p>
        </w:tc>
        <w:tc>
          <w:tcPr>
            <w:tcW w:w="682" w:type="dxa"/>
            <w:vMerge w:val="continue"/>
            <w:tcBorders>
              <w:top w:val="nil"/>
            </w:tcBorders>
            <w:textDirection w:val="tbRlV"/>
            <w:vAlign w:val="top"/>
          </w:tcPr>
          <w:p w14:paraId="1A392E9E">
            <w:pPr>
              <w:rPr>
                <w:rFonts w:ascii="Arial"/>
                <w:sz w:val="21"/>
              </w:rPr>
            </w:pPr>
          </w:p>
        </w:tc>
      </w:tr>
      <w:tr w14:paraId="3A25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784" w:type="dxa"/>
            <w:vMerge w:val="continue"/>
            <w:tcBorders>
              <w:top w:val="nil"/>
              <w:bottom w:val="nil"/>
            </w:tcBorders>
            <w:vAlign w:val="top"/>
          </w:tcPr>
          <w:p w14:paraId="47B85F0A">
            <w:pPr>
              <w:rPr>
                <w:rFonts w:ascii="Arial"/>
                <w:sz w:val="21"/>
              </w:rPr>
            </w:pPr>
          </w:p>
        </w:tc>
        <w:tc>
          <w:tcPr>
            <w:tcW w:w="849" w:type="dxa"/>
            <w:vAlign w:val="top"/>
          </w:tcPr>
          <w:p w14:paraId="051A680C">
            <w:pPr>
              <w:spacing w:line="437" w:lineRule="auto"/>
              <w:rPr>
                <w:rFonts w:ascii="Arial"/>
                <w:sz w:val="21"/>
              </w:rPr>
            </w:pPr>
          </w:p>
          <w:p w14:paraId="621B71C5">
            <w:pPr>
              <w:pStyle w:val="6"/>
              <w:spacing w:before="65" w:line="233" w:lineRule="auto"/>
              <w:ind w:left="60" w:right="106" w:firstLine="50"/>
              <w:rPr>
                <w:sz w:val="20"/>
                <w:szCs w:val="20"/>
              </w:rPr>
            </w:pPr>
            <w:r>
              <w:rPr>
                <w:spacing w:val="7"/>
                <w:sz w:val="20"/>
                <w:szCs w:val="20"/>
              </w:rPr>
              <w:t>服务中</w:t>
            </w:r>
            <w:r>
              <w:rPr>
                <w:sz w:val="20"/>
                <w:szCs w:val="20"/>
              </w:rPr>
              <w:t xml:space="preserve"> 断</w:t>
            </w:r>
          </w:p>
        </w:tc>
        <w:tc>
          <w:tcPr>
            <w:tcW w:w="1218" w:type="dxa"/>
            <w:vAlign w:val="top"/>
          </w:tcPr>
          <w:p w14:paraId="0E0FE29B">
            <w:pPr>
              <w:spacing w:line="259" w:lineRule="auto"/>
              <w:rPr>
                <w:rFonts w:ascii="Arial"/>
                <w:sz w:val="21"/>
              </w:rPr>
            </w:pPr>
          </w:p>
          <w:p w14:paraId="4AAA82AA">
            <w:pPr>
              <w:spacing w:line="259" w:lineRule="auto"/>
              <w:rPr>
                <w:rFonts w:ascii="Arial"/>
                <w:sz w:val="21"/>
              </w:rPr>
            </w:pPr>
          </w:p>
          <w:p w14:paraId="571DA0DD">
            <w:pPr>
              <w:pStyle w:val="6"/>
              <w:spacing w:before="65" w:line="221" w:lineRule="auto"/>
              <w:ind w:left="101"/>
              <w:rPr>
                <w:sz w:val="20"/>
                <w:szCs w:val="20"/>
              </w:rPr>
            </w:pPr>
            <w:r>
              <w:rPr>
                <w:spacing w:val="1"/>
                <w:sz w:val="20"/>
                <w:szCs w:val="20"/>
              </w:rPr>
              <w:t>云平台整体</w:t>
            </w:r>
          </w:p>
        </w:tc>
        <w:tc>
          <w:tcPr>
            <w:tcW w:w="2696" w:type="dxa"/>
            <w:vAlign w:val="top"/>
          </w:tcPr>
          <w:p w14:paraId="716C3A9E">
            <w:pPr>
              <w:pStyle w:val="6"/>
              <w:spacing w:before="65" w:line="247" w:lineRule="auto"/>
              <w:ind w:right="91"/>
              <w:jc w:val="both"/>
              <w:rPr>
                <w:sz w:val="20"/>
                <w:szCs w:val="20"/>
              </w:rPr>
            </w:pPr>
            <w:r>
              <w:rPr>
                <w:sz w:val="20"/>
                <w:szCs w:val="20"/>
              </w:rPr>
              <w:t>因非不可抗力造成信息系统</w:t>
            </w:r>
            <w:r>
              <w:rPr>
                <w:spacing w:val="8"/>
                <w:sz w:val="20"/>
                <w:szCs w:val="20"/>
              </w:rPr>
              <w:t xml:space="preserve"> </w:t>
            </w:r>
            <w:r>
              <w:rPr>
                <w:sz w:val="20"/>
                <w:szCs w:val="20"/>
              </w:rPr>
              <w:t>中断或影响人数1万以上或</w:t>
            </w:r>
            <w:r>
              <w:rPr>
                <w:spacing w:val="4"/>
                <w:sz w:val="20"/>
                <w:szCs w:val="20"/>
              </w:rPr>
              <w:t xml:space="preserve">  </w:t>
            </w:r>
            <w:r>
              <w:rPr>
                <w:sz w:val="20"/>
                <w:szCs w:val="20"/>
              </w:rPr>
              <w:t>导致10万元以上经济损失。</w:t>
            </w:r>
          </w:p>
        </w:tc>
        <w:tc>
          <w:tcPr>
            <w:tcW w:w="959" w:type="dxa"/>
            <w:vAlign w:val="top"/>
          </w:tcPr>
          <w:p w14:paraId="15142CDF">
            <w:pPr>
              <w:spacing w:line="449" w:lineRule="auto"/>
              <w:rPr>
                <w:rFonts w:ascii="Arial"/>
                <w:sz w:val="21"/>
              </w:rPr>
            </w:pPr>
          </w:p>
          <w:p w14:paraId="12860D2B">
            <w:pPr>
              <w:pStyle w:val="6"/>
              <w:spacing w:before="65" w:line="226" w:lineRule="auto"/>
              <w:ind w:left="87" w:right="29" w:hanging="20"/>
              <w:jc w:val="left"/>
              <w:rPr>
                <w:sz w:val="20"/>
                <w:szCs w:val="20"/>
              </w:rPr>
            </w:pPr>
            <w:r>
              <w:rPr>
                <w:spacing w:val="-14"/>
                <w:sz w:val="20"/>
                <w:szCs w:val="20"/>
              </w:rPr>
              <w:t>2小时</w:t>
            </w:r>
            <w:r>
              <w:rPr>
                <w:spacing w:val="4"/>
                <w:sz w:val="20"/>
                <w:szCs w:val="20"/>
              </w:rPr>
              <w:t>以上</w:t>
            </w:r>
          </w:p>
        </w:tc>
        <w:tc>
          <w:tcPr>
            <w:tcW w:w="755" w:type="dxa"/>
            <w:vMerge w:val="restart"/>
            <w:tcBorders>
              <w:bottom w:val="nil"/>
            </w:tcBorders>
            <w:vAlign w:val="top"/>
          </w:tcPr>
          <w:p w14:paraId="7CDB53EC">
            <w:pPr>
              <w:spacing w:line="263" w:lineRule="auto"/>
              <w:rPr>
                <w:rFonts w:ascii="Arial"/>
                <w:sz w:val="21"/>
              </w:rPr>
            </w:pPr>
          </w:p>
          <w:p w14:paraId="05F8E159">
            <w:pPr>
              <w:spacing w:line="263" w:lineRule="auto"/>
              <w:rPr>
                <w:rFonts w:ascii="Arial"/>
                <w:sz w:val="21"/>
              </w:rPr>
            </w:pPr>
          </w:p>
          <w:p w14:paraId="5FFB2F48">
            <w:pPr>
              <w:spacing w:line="263" w:lineRule="auto"/>
              <w:rPr>
                <w:rFonts w:ascii="Arial"/>
                <w:sz w:val="21"/>
              </w:rPr>
            </w:pPr>
          </w:p>
          <w:p w14:paraId="47379124">
            <w:pPr>
              <w:spacing w:line="263" w:lineRule="auto"/>
              <w:rPr>
                <w:rFonts w:ascii="Arial"/>
                <w:sz w:val="21"/>
              </w:rPr>
            </w:pPr>
          </w:p>
          <w:p w14:paraId="353527B6">
            <w:pPr>
              <w:spacing w:line="263" w:lineRule="auto"/>
              <w:rPr>
                <w:rFonts w:ascii="Arial"/>
                <w:sz w:val="21"/>
              </w:rPr>
            </w:pPr>
          </w:p>
          <w:p w14:paraId="0E9E6941">
            <w:pPr>
              <w:spacing w:line="263" w:lineRule="auto"/>
              <w:rPr>
                <w:rFonts w:ascii="Arial"/>
                <w:sz w:val="21"/>
              </w:rPr>
            </w:pPr>
          </w:p>
          <w:p w14:paraId="6FF4A8BF">
            <w:pPr>
              <w:spacing w:line="263" w:lineRule="auto"/>
              <w:rPr>
                <w:rFonts w:ascii="Arial"/>
                <w:sz w:val="21"/>
              </w:rPr>
            </w:pPr>
          </w:p>
          <w:p w14:paraId="03619EE2">
            <w:pPr>
              <w:pStyle w:val="6"/>
              <w:spacing w:before="65" w:line="221" w:lineRule="auto"/>
              <w:ind w:left="88"/>
              <w:jc w:val="center"/>
              <w:rPr>
                <w:sz w:val="20"/>
                <w:szCs w:val="20"/>
              </w:rPr>
            </w:pPr>
            <w:r>
              <w:rPr>
                <w:spacing w:val="-2"/>
                <w:sz w:val="20"/>
                <w:szCs w:val="20"/>
              </w:rPr>
              <w:t>B级</w:t>
            </w:r>
          </w:p>
        </w:tc>
        <w:tc>
          <w:tcPr>
            <w:tcW w:w="682" w:type="dxa"/>
            <w:vMerge w:val="restart"/>
            <w:tcBorders>
              <w:bottom w:val="nil"/>
            </w:tcBorders>
            <w:vAlign w:val="top"/>
          </w:tcPr>
          <w:p w14:paraId="5B1390EC">
            <w:pPr>
              <w:pStyle w:val="6"/>
              <w:spacing w:before="100" w:line="196" w:lineRule="auto"/>
              <w:ind w:left="1708"/>
              <w:rPr>
                <w:spacing w:val="29"/>
                <w:sz w:val="16"/>
                <w:szCs w:val="16"/>
              </w:rPr>
            </w:pPr>
            <w:r>
              <w:rPr>
                <w:spacing w:val="29"/>
                <w:sz w:val="16"/>
                <w:szCs w:val="16"/>
              </w:rPr>
              <w:t>2</w:t>
            </w:r>
            <w:r>
              <w:rPr>
                <w:spacing w:val="11"/>
                <w:sz w:val="16"/>
                <w:szCs w:val="16"/>
              </w:rPr>
              <w:t xml:space="preserve">   </w:t>
            </w:r>
            <w:r>
              <w:rPr>
                <w:spacing w:val="29"/>
                <w:sz w:val="16"/>
                <w:szCs w:val="16"/>
              </w:rPr>
              <w:t>次</w:t>
            </w:r>
          </w:p>
          <w:p w14:paraId="3C30BBD3">
            <w:pPr>
              <w:bidi w:val="0"/>
            </w:pPr>
          </w:p>
          <w:p w14:paraId="50FB56CE">
            <w:pPr>
              <w:bidi w:val="0"/>
            </w:pPr>
          </w:p>
          <w:p w14:paraId="0CCDF631">
            <w:pPr>
              <w:bidi w:val="0"/>
            </w:pPr>
          </w:p>
          <w:p w14:paraId="2D845716">
            <w:pPr>
              <w:bidi w:val="0"/>
            </w:pPr>
          </w:p>
          <w:p w14:paraId="32B03EB0">
            <w:pPr>
              <w:bidi w:val="0"/>
              <w:ind w:firstLine="241" w:firstLineChars="0"/>
              <w:jc w:val="left"/>
              <w:rPr>
                <w:rFonts w:hint="default" w:eastAsiaTheme="minorEastAsia"/>
                <w:lang w:val="en-US" w:eastAsia="zh-CN"/>
              </w:rPr>
            </w:pPr>
            <w:r>
              <w:rPr>
                <w:rFonts w:hint="eastAsia"/>
                <w:lang w:val="en-US" w:eastAsia="zh-CN"/>
              </w:rPr>
              <w:t>2次</w:t>
            </w:r>
          </w:p>
        </w:tc>
      </w:tr>
      <w:tr w14:paraId="5037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784" w:type="dxa"/>
            <w:vMerge w:val="continue"/>
            <w:tcBorders>
              <w:top w:val="nil"/>
              <w:bottom w:val="nil"/>
            </w:tcBorders>
            <w:vAlign w:val="top"/>
          </w:tcPr>
          <w:p w14:paraId="7AD9DFEF">
            <w:pPr>
              <w:rPr>
                <w:rFonts w:ascii="Arial"/>
                <w:sz w:val="21"/>
              </w:rPr>
            </w:pPr>
          </w:p>
        </w:tc>
        <w:tc>
          <w:tcPr>
            <w:tcW w:w="849" w:type="dxa"/>
            <w:vAlign w:val="top"/>
          </w:tcPr>
          <w:p w14:paraId="5A2851F1">
            <w:pPr>
              <w:spacing w:line="333" w:lineRule="auto"/>
              <w:rPr>
                <w:rFonts w:ascii="Arial"/>
                <w:sz w:val="21"/>
              </w:rPr>
            </w:pPr>
          </w:p>
          <w:p w14:paraId="7CEF75E5">
            <w:pPr>
              <w:spacing w:line="334" w:lineRule="auto"/>
              <w:rPr>
                <w:rFonts w:ascii="Arial"/>
                <w:sz w:val="21"/>
              </w:rPr>
            </w:pPr>
          </w:p>
          <w:p w14:paraId="0F35E4EB">
            <w:pPr>
              <w:pStyle w:val="6"/>
              <w:spacing w:before="65" w:line="220" w:lineRule="auto"/>
              <w:ind w:left="111"/>
              <w:rPr>
                <w:sz w:val="20"/>
                <w:szCs w:val="20"/>
              </w:rPr>
            </w:pPr>
            <w:r>
              <w:rPr>
                <w:spacing w:val="-2"/>
                <w:sz w:val="20"/>
                <w:szCs w:val="20"/>
              </w:rPr>
              <w:t>重大篡</w:t>
            </w:r>
          </w:p>
          <w:p w14:paraId="0AAFC2CF">
            <w:pPr>
              <w:pStyle w:val="6"/>
              <w:spacing w:before="41" w:line="219" w:lineRule="auto"/>
              <w:ind w:left="111"/>
              <w:rPr>
                <w:sz w:val="20"/>
                <w:szCs w:val="20"/>
              </w:rPr>
            </w:pPr>
            <w:r>
              <w:rPr>
                <w:spacing w:val="2"/>
                <w:sz w:val="20"/>
                <w:szCs w:val="20"/>
              </w:rPr>
              <w:t>改事件</w:t>
            </w:r>
          </w:p>
        </w:tc>
        <w:tc>
          <w:tcPr>
            <w:tcW w:w="1218" w:type="dxa"/>
            <w:vAlign w:val="top"/>
          </w:tcPr>
          <w:p w14:paraId="21EAB4B5">
            <w:pPr>
              <w:spacing w:line="245" w:lineRule="auto"/>
              <w:rPr>
                <w:rFonts w:ascii="Arial"/>
                <w:sz w:val="21"/>
              </w:rPr>
            </w:pPr>
          </w:p>
          <w:p w14:paraId="348D5729">
            <w:pPr>
              <w:spacing w:line="245" w:lineRule="auto"/>
              <w:rPr>
                <w:rFonts w:ascii="Arial"/>
                <w:sz w:val="21"/>
              </w:rPr>
            </w:pPr>
          </w:p>
          <w:p w14:paraId="786B57C0">
            <w:pPr>
              <w:spacing w:line="246" w:lineRule="auto"/>
              <w:rPr>
                <w:rFonts w:ascii="Arial"/>
                <w:sz w:val="21"/>
              </w:rPr>
            </w:pPr>
          </w:p>
          <w:p w14:paraId="538626E6">
            <w:pPr>
              <w:pStyle w:val="6"/>
              <w:spacing w:before="65" w:line="219" w:lineRule="auto"/>
              <w:ind w:left="71"/>
              <w:rPr>
                <w:sz w:val="20"/>
                <w:szCs w:val="20"/>
              </w:rPr>
            </w:pPr>
            <w:r>
              <w:rPr>
                <w:spacing w:val="-2"/>
                <w:sz w:val="20"/>
                <w:szCs w:val="20"/>
              </w:rPr>
              <w:t>信息系统</w:t>
            </w:r>
          </w:p>
        </w:tc>
        <w:tc>
          <w:tcPr>
            <w:tcW w:w="2696" w:type="dxa"/>
            <w:vAlign w:val="top"/>
          </w:tcPr>
          <w:p w14:paraId="41D10E31">
            <w:pPr>
              <w:pStyle w:val="6"/>
              <w:spacing w:before="65" w:line="249" w:lineRule="auto"/>
              <w:rPr>
                <w:sz w:val="20"/>
                <w:szCs w:val="20"/>
              </w:rPr>
            </w:pPr>
            <w:r>
              <w:rPr>
                <w:spacing w:val="1"/>
                <w:sz w:val="20"/>
                <w:szCs w:val="20"/>
              </w:rPr>
              <w:t>因云服务商的安全隐患原因</w:t>
            </w:r>
            <w:r>
              <w:rPr>
                <w:sz w:val="20"/>
                <w:szCs w:val="20"/>
              </w:rPr>
              <w:t xml:space="preserve">  </w:t>
            </w:r>
            <w:r>
              <w:rPr>
                <w:spacing w:val="-1"/>
                <w:sz w:val="20"/>
                <w:szCs w:val="20"/>
              </w:rPr>
              <w:t>造成的系统被恶意篡改事件，</w:t>
            </w:r>
          </w:p>
          <w:p w14:paraId="6043DB37">
            <w:pPr>
              <w:pStyle w:val="6"/>
              <w:spacing w:before="3" w:line="237" w:lineRule="auto"/>
              <w:ind w:right="48"/>
              <w:rPr>
                <w:sz w:val="20"/>
                <w:szCs w:val="20"/>
              </w:rPr>
            </w:pPr>
            <w:r>
              <w:rPr>
                <w:spacing w:val="-1"/>
                <w:sz w:val="20"/>
                <w:szCs w:val="20"/>
              </w:rPr>
              <w:t>事件发生后云服务商未及时</w:t>
            </w:r>
            <w:r>
              <w:rPr>
                <w:spacing w:val="1"/>
                <w:sz w:val="20"/>
                <w:szCs w:val="20"/>
              </w:rPr>
              <w:t xml:space="preserve">  </w:t>
            </w:r>
            <w:r>
              <w:rPr>
                <w:spacing w:val="-1"/>
                <w:sz w:val="20"/>
                <w:szCs w:val="20"/>
              </w:rPr>
              <w:t>进行处置，造成信息安全事件</w:t>
            </w:r>
            <w:r>
              <w:rPr>
                <w:spacing w:val="5"/>
                <w:sz w:val="20"/>
                <w:szCs w:val="20"/>
              </w:rPr>
              <w:t xml:space="preserve"> </w:t>
            </w:r>
            <w:r>
              <w:rPr>
                <w:spacing w:val="10"/>
                <w:sz w:val="20"/>
                <w:szCs w:val="20"/>
              </w:rPr>
              <w:t>处置延误。</w:t>
            </w:r>
          </w:p>
        </w:tc>
        <w:tc>
          <w:tcPr>
            <w:tcW w:w="959" w:type="dxa"/>
            <w:vAlign w:val="top"/>
          </w:tcPr>
          <w:p w14:paraId="0BEB3EF2">
            <w:pPr>
              <w:spacing w:line="278" w:lineRule="auto"/>
              <w:rPr>
                <w:rFonts w:ascii="Arial"/>
                <w:sz w:val="21"/>
              </w:rPr>
            </w:pPr>
          </w:p>
          <w:p w14:paraId="3A5C2E06">
            <w:pPr>
              <w:spacing w:line="278" w:lineRule="auto"/>
              <w:rPr>
                <w:rFonts w:ascii="Arial"/>
                <w:sz w:val="21"/>
              </w:rPr>
            </w:pPr>
          </w:p>
          <w:p w14:paraId="5C9865EC">
            <w:pPr>
              <w:pStyle w:val="6"/>
              <w:spacing w:before="65" w:line="237" w:lineRule="auto"/>
              <w:ind w:right="14"/>
              <w:jc w:val="left"/>
              <w:rPr>
                <w:sz w:val="20"/>
                <w:szCs w:val="20"/>
              </w:rPr>
            </w:pPr>
            <w:r>
              <w:rPr>
                <w:spacing w:val="-9"/>
                <w:sz w:val="20"/>
                <w:szCs w:val="20"/>
              </w:rPr>
              <w:t>30分钟</w:t>
            </w:r>
            <w:r>
              <w:rPr>
                <w:spacing w:val="4"/>
                <w:sz w:val="20"/>
                <w:szCs w:val="20"/>
              </w:rPr>
              <w:t>以上</w:t>
            </w:r>
          </w:p>
        </w:tc>
        <w:tc>
          <w:tcPr>
            <w:tcW w:w="755" w:type="dxa"/>
            <w:vMerge w:val="continue"/>
            <w:tcBorders>
              <w:top w:val="nil"/>
              <w:bottom w:val="nil"/>
            </w:tcBorders>
            <w:vAlign w:val="top"/>
          </w:tcPr>
          <w:p w14:paraId="7E186C6E">
            <w:pPr>
              <w:rPr>
                <w:rFonts w:ascii="Arial"/>
                <w:sz w:val="21"/>
              </w:rPr>
            </w:pPr>
          </w:p>
        </w:tc>
        <w:tc>
          <w:tcPr>
            <w:tcW w:w="682" w:type="dxa"/>
            <w:vMerge w:val="continue"/>
            <w:tcBorders>
              <w:top w:val="nil"/>
              <w:bottom w:val="nil"/>
            </w:tcBorders>
            <w:textDirection w:val="tbRlV"/>
            <w:vAlign w:val="top"/>
          </w:tcPr>
          <w:p w14:paraId="7289AC37">
            <w:pPr>
              <w:rPr>
                <w:rFonts w:ascii="Arial"/>
                <w:sz w:val="21"/>
              </w:rPr>
            </w:pPr>
          </w:p>
        </w:tc>
      </w:tr>
      <w:tr w14:paraId="494B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84" w:type="dxa"/>
            <w:vMerge w:val="continue"/>
            <w:tcBorders>
              <w:top w:val="nil"/>
              <w:bottom w:val="nil"/>
            </w:tcBorders>
            <w:vAlign w:val="top"/>
          </w:tcPr>
          <w:p w14:paraId="4C382ACA">
            <w:pPr>
              <w:rPr>
                <w:rFonts w:ascii="Arial"/>
                <w:sz w:val="21"/>
              </w:rPr>
            </w:pPr>
          </w:p>
        </w:tc>
        <w:tc>
          <w:tcPr>
            <w:tcW w:w="849" w:type="dxa"/>
            <w:vAlign w:val="top"/>
          </w:tcPr>
          <w:p w14:paraId="59CB3C1D">
            <w:pPr>
              <w:pStyle w:val="6"/>
              <w:spacing w:before="268" w:line="244" w:lineRule="auto"/>
              <w:ind w:left="70" w:right="116" w:firstLine="40"/>
              <w:jc w:val="center"/>
              <w:rPr>
                <w:sz w:val="20"/>
                <w:szCs w:val="20"/>
              </w:rPr>
            </w:pPr>
            <w:r>
              <w:rPr>
                <w:spacing w:val="3"/>
                <w:sz w:val="20"/>
                <w:szCs w:val="20"/>
              </w:rPr>
              <w:t>数据丢</w:t>
            </w:r>
            <w:r>
              <w:rPr>
                <w:sz w:val="20"/>
                <w:szCs w:val="20"/>
              </w:rPr>
              <w:t>失</w:t>
            </w:r>
          </w:p>
        </w:tc>
        <w:tc>
          <w:tcPr>
            <w:tcW w:w="1218" w:type="dxa"/>
            <w:vAlign w:val="top"/>
          </w:tcPr>
          <w:p w14:paraId="0FC2E4C0">
            <w:pPr>
              <w:pStyle w:val="6"/>
              <w:spacing w:before="268" w:line="219" w:lineRule="auto"/>
              <w:ind w:left="101"/>
              <w:rPr>
                <w:sz w:val="20"/>
                <w:szCs w:val="20"/>
              </w:rPr>
            </w:pPr>
            <w:r>
              <w:rPr>
                <w:spacing w:val="-2"/>
                <w:sz w:val="20"/>
                <w:szCs w:val="20"/>
              </w:rPr>
              <w:t>信息系统核</w:t>
            </w:r>
          </w:p>
          <w:p w14:paraId="0A576707">
            <w:pPr>
              <w:pStyle w:val="6"/>
              <w:spacing w:before="22" w:line="219" w:lineRule="auto"/>
              <w:ind w:left="101"/>
              <w:rPr>
                <w:sz w:val="20"/>
                <w:szCs w:val="20"/>
              </w:rPr>
            </w:pPr>
            <w:r>
              <w:rPr>
                <w:spacing w:val="2"/>
                <w:sz w:val="20"/>
                <w:szCs w:val="20"/>
              </w:rPr>
              <w:t>心业务数据</w:t>
            </w:r>
          </w:p>
        </w:tc>
        <w:tc>
          <w:tcPr>
            <w:tcW w:w="2696" w:type="dxa"/>
            <w:vAlign w:val="top"/>
          </w:tcPr>
          <w:p w14:paraId="4B868C5D">
            <w:pPr>
              <w:pStyle w:val="6"/>
              <w:spacing w:before="268" w:line="242" w:lineRule="auto"/>
              <w:rPr>
                <w:sz w:val="20"/>
                <w:szCs w:val="20"/>
              </w:rPr>
            </w:pPr>
            <w:r>
              <w:rPr>
                <w:sz w:val="20"/>
                <w:szCs w:val="20"/>
              </w:rPr>
              <w:t xml:space="preserve">因非不可抗力造成信息系统  </w:t>
            </w:r>
            <w:r>
              <w:rPr>
                <w:spacing w:val="-1"/>
                <w:sz w:val="20"/>
                <w:szCs w:val="20"/>
              </w:rPr>
              <w:t>丢失数据，且确认无法恢复。</w:t>
            </w:r>
          </w:p>
        </w:tc>
        <w:tc>
          <w:tcPr>
            <w:tcW w:w="959" w:type="dxa"/>
            <w:vAlign w:val="top"/>
          </w:tcPr>
          <w:p w14:paraId="596001B7">
            <w:pPr>
              <w:spacing w:line="454" w:lineRule="auto"/>
              <w:rPr>
                <w:rFonts w:ascii="Arial"/>
                <w:sz w:val="21"/>
              </w:rPr>
            </w:pPr>
          </w:p>
          <w:p w14:paraId="0FEBA70A">
            <w:pPr>
              <w:pStyle w:val="6"/>
              <w:spacing w:before="65" w:line="136" w:lineRule="exact"/>
              <w:ind w:left="88"/>
              <w:rPr>
                <w:sz w:val="20"/>
                <w:szCs w:val="20"/>
              </w:rPr>
            </w:pPr>
            <w:r>
              <w:rPr>
                <w:spacing w:val="-5"/>
                <w:w w:val="53"/>
                <w:position w:val="-3"/>
                <w:sz w:val="20"/>
                <w:szCs w:val="20"/>
              </w:rPr>
              <w:t>—</w:t>
            </w:r>
            <w:r>
              <w:rPr>
                <w:position w:val="-3"/>
                <w:sz w:val="20"/>
                <w:szCs w:val="20"/>
              </w:rPr>
              <w:t>—</w:t>
            </w:r>
          </w:p>
        </w:tc>
        <w:tc>
          <w:tcPr>
            <w:tcW w:w="755" w:type="dxa"/>
            <w:vMerge w:val="continue"/>
            <w:tcBorders>
              <w:top w:val="nil"/>
              <w:bottom w:val="nil"/>
            </w:tcBorders>
            <w:vAlign w:val="top"/>
          </w:tcPr>
          <w:p w14:paraId="4243FAF8">
            <w:pPr>
              <w:rPr>
                <w:rFonts w:ascii="Arial"/>
                <w:sz w:val="21"/>
              </w:rPr>
            </w:pPr>
          </w:p>
        </w:tc>
        <w:tc>
          <w:tcPr>
            <w:tcW w:w="682" w:type="dxa"/>
            <w:vMerge w:val="continue"/>
            <w:tcBorders>
              <w:top w:val="nil"/>
              <w:bottom w:val="nil"/>
            </w:tcBorders>
            <w:textDirection w:val="tbRlV"/>
            <w:vAlign w:val="top"/>
          </w:tcPr>
          <w:p w14:paraId="0657A628">
            <w:pPr>
              <w:rPr>
                <w:rFonts w:ascii="Arial"/>
                <w:sz w:val="21"/>
              </w:rPr>
            </w:pPr>
          </w:p>
        </w:tc>
      </w:tr>
      <w:tr w14:paraId="3714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84" w:type="dxa"/>
            <w:tcBorders>
              <w:top w:val="nil"/>
            </w:tcBorders>
            <w:vAlign w:val="top"/>
          </w:tcPr>
          <w:p w14:paraId="7BEA347C">
            <w:pPr>
              <w:rPr>
                <w:rFonts w:ascii="Arial"/>
                <w:sz w:val="21"/>
              </w:rPr>
            </w:pPr>
          </w:p>
        </w:tc>
        <w:tc>
          <w:tcPr>
            <w:tcW w:w="849" w:type="dxa"/>
            <w:vAlign w:val="top"/>
          </w:tcPr>
          <w:p w14:paraId="35635A7D">
            <w:pPr>
              <w:pStyle w:val="6"/>
              <w:spacing w:before="268" w:line="244" w:lineRule="auto"/>
              <w:ind w:left="70" w:right="116" w:firstLine="40"/>
              <w:jc w:val="center"/>
              <w:rPr>
                <w:rFonts w:hint="default" w:eastAsia="宋体"/>
                <w:spacing w:val="3"/>
                <w:sz w:val="20"/>
                <w:szCs w:val="20"/>
                <w:lang w:val="en-US" w:eastAsia="zh-CN"/>
              </w:rPr>
            </w:pPr>
            <w:r>
              <w:rPr>
                <w:rFonts w:hint="eastAsia"/>
                <w:spacing w:val="3"/>
                <w:sz w:val="20"/>
                <w:szCs w:val="20"/>
                <w:lang w:val="en-US" w:eastAsia="zh-CN"/>
              </w:rPr>
              <w:t>恶意入侵攻击</w:t>
            </w:r>
          </w:p>
        </w:tc>
        <w:tc>
          <w:tcPr>
            <w:tcW w:w="1218" w:type="dxa"/>
            <w:vAlign w:val="center"/>
          </w:tcPr>
          <w:p w14:paraId="7AC9B344">
            <w:pPr>
              <w:pStyle w:val="6"/>
              <w:spacing w:before="22" w:line="219" w:lineRule="auto"/>
              <w:ind w:left="101"/>
              <w:jc w:val="center"/>
              <w:rPr>
                <w:rFonts w:hint="default" w:eastAsia="宋体"/>
                <w:spacing w:val="2"/>
                <w:sz w:val="20"/>
                <w:szCs w:val="20"/>
                <w:lang w:val="en-US" w:eastAsia="zh-CN"/>
              </w:rPr>
            </w:pPr>
            <w:r>
              <w:rPr>
                <w:rFonts w:hint="eastAsia"/>
                <w:spacing w:val="2"/>
                <w:sz w:val="20"/>
                <w:szCs w:val="20"/>
                <w:lang w:val="en-US" w:eastAsia="zh-CN"/>
              </w:rPr>
              <w:t>信息系统</w:t>
            </w:r>
          </w:p>
        </w:tc>
        <w:tc>
          <w:tcPr>
            <w:tcW w:w="2696" w:type="dxa"/>
            <w:vAlign w:val="top"/>
          </w:tcPr>
          <w:p w14:paraId="23A5D57F">
            <w:pPr>
              <w:pStyle w:val="6"/>
              <w:spacing w:before="268" w:line="242" w:lineRule="auto"/>
              <w:rPr>
                <w:rFonts w:hint="default" w:eastAsia="宋体"/>
                <w:sz w:val="20"/>
                <w:szCs w:val="20"/>
                <w:lang w:val="en-US" w:eastAsia="zh-CN"/>
              </w:rPr>
            </w:pPr>
            <w:r>
              <w:rPr>
                <w:rFonts w:hint="eastAsia"/>
                <w:sz w:val="20"/>
                <w:szCs w:val="20"/>
                <w:lang w:val="en-US" w:eastAsia="zh-CN"/>
              </w:rPr>
              <w:t>被第三方安全机构通报云平台存在安全隐患，云服务商未在24小时内做有效处置或应急防护措施，造成信息系统被恶意篡改或敏感信息泄露事件。</w:t>
            </w:r>
          </w:p>
        </w:tc>
        <w:tc>
          <w:tcPr>
            <w:tcW w:w="959" w:type="dxa"/>
            <w:vAlign w:val="center"/>
          </w:tcPr>
          <w:p w14:paraId="3C0868A8">
            <w:pPr>
              <w:pStyle w:val="6"/>
              <w:spacing w:before="65" w:line="136" w:lineRule="exact"/>
              <w:ind w:left="88"/>
              <w:jc w:val="center"/>
              <w:rPr>
                <w:spacing w:val="-5"/>
                <w:w w:val="53"/>
                <w:position w:val="-3"/>
                <w:sz w:val="20"/>
                <w:szCs w:val="20"/>
              </w:rPr>
            </w:pPr>
            <w:r>
              <w:rPr>
                <w:spacing w:val="-5"/>
                <w:w w:val="53"/>
                <w:position w:val="-3"/>
                <w:sz w:val="20"/>
                <w:szCs w:val="20"/>
              </w:rPr>
              <w:t>—</w:t>
            </w:r>
            <w:r>
              <w:rPr>
                <w:position w:val="-3"/>
                <w:sz w:val="20"/>
                <w:szCs w:val="20"/>
              </w:rPr>
              <w:t>—</w:t>
            </w:r>
          </w:p>
        </w:tc>
        <w:tc>
          <w:tcPr>
            <w:tcW w:w="755" w:type="dxa"/>
            <w:tcBorders>
              <w:top w:val="nil"/>
            </w:tcBorders>
            <w:vAlign w:val="top"/>
          </w:tcPr>
          <w:p w14:paraId="6BFABEC2">
            <w:pPr>
              <w:rPr>
                <w:rFonts w:ascii="Arial"/>
                <w:sz w:val="21"/>
              </w:rPr>
            </w:pPr>
          </w:p>
        </w:tc>
        <w:tc>
          <w:tcPr>
            <w:tcW w:w="682" w:type="dxa"/>
            <w:tcBorders>
              <w:top w:val="nil"/>
            </w:tcBorders>
            <w:textDirection w:val="tbRlV"/>
            <w:vAlign w:val="top"/>
          </w:tcPr>
          <w:p w14:paraId="7433544D">
            <w:pPr>
              <w:rPr>
                <w:rFonts w:ascii="Arial"/>
                <w:sz w:val="21"/>
              </w:rPr>
            </w:pPr>
          </w:p>
        </w:tc>
      </w:tr>
    </w:tbl>
    <w:p w14:paraId="4D324604">
      <w:pPr>
        <w:spacing w:before="60" w:after="60"/>
        <w:ind w:right="278" w:firstLine="488"/>
        <w:rPr>
          <w:rFonts w:hint="default" w:ascii="宋体" w:hAnsi="宋体" w:eastAsia="宋体" w:cs="宋体"/>
          <w:color w:val="auto"/>
          <w:spacing w:val="11"/>
          <w:sz w:val="22"/>
          <w:szCs w:val="22"/>
          <w:lang w:val="en-US" w:eastAsia="zh-CN"/>
        </w:rPr>
      </w:pPr>
    </w:p>
    <w:p w14:paraId="7DF97F79">
      <w:pPr>
        <w:rPr>
          <w:color w:val="auto"/>
        </w:rPr>
      </w:pPr>
      <w:r>
        <w:rPr>
          <w:color w:val="auto"/>
        </w:rPr>
        <w:br w:type="page"/>
      </w:r>
    </w:p>
    <w:p w14:paraId="7D788EB9">
      <w:pPr>
        <w:spacing w:before="60" w:after="60"/>
        <w:ind w:right="278" w:firstLine="488"/>
        <w:rPr>
          <w:rFonts w:hint="eastAsia" w:ascii="宋体" w:hAnsi="宋体" w:eastAsia="宋体" w:cs="宋体"/>
          <w:b/>
          <w:bCs/>
          <w:color w:val="auto"/>
          <w:spacing w:val="11"/>
          <w:sz w:val="22"/>
          <w:szCs w:val="22"/>
          <w:lang w:val="en-US" w:eastAsia="zh-CN"/>
        </w:rPr>
      </w:pPr>
      <w:r>
        <w:rPr>
          <w:rFonts w:hint="eastAsia" w:ascii="宋体" w:hAnsi="宋体" w:eastAsia="宋体" w:cs="宋体"/>
          <w:b/>
          <w:bCs/>
          <w:color w:val="auto"/>
          <w:spacing w:val="11"/>
          <w:sz w:val="22"/>
          <w:szCs w:val="22"/>
          <w:lang w:val="en-US" w:eastAsia="zh-CN"/>
        </w:rPr>
        <w:t xml:space="preserve">附件2 </w:t>
      </w:r>
    </w:p>
    <w:p w14:paraId="17393E9F">
      <w:pPr>
        <w:spacing w:before="60" w:after="60"/>
        <w:ind w:right="278" w:firstLine="488"/>
        <w:jc w:val="center"/>
        <w:rPr>
          <w:rFonts w:hint="eastAsia" w:ascii="宋体" w:hAnsi="宋体" w:eastAsia="宋体" w:cs="宋体"/>
          <w:b/>
          <w:bCs/>
          <w:color w:val="auto"/>
          <w:spacing w:val="11"/>
          <w:sz w:val="24"/>
          <w:szCs w:val="24"/>
          <w:lang w:val="en-US" w:eastAsia="zh-CN"/>
        </w:rPr>
      </w:pPr>
      <w:r>
        <w:rPr>
          <w:rFonts w:hint="eastAsia" w:ascii="宋体" w:hAnsi="宋体" w:eastAsia="宋体" w:cs="宋体"/>
          <w:b/>
          <w:bCs/>
          <w:color w:val="auto"/>
          <w:spacing w:val="11"/>
          <w:sz w:val="24"/>
          <w:szCs w:val="24"/>
          <w:lang w:val="en-US" w:eastAsia="zh-CN"/>
        </w:rPr>
        <w:t>严重违约行为表</w:t>
      </w:r>
    </w:p>
    <w:p w14:paraId="07426E24">
      <w:pPr>
        <w:spacing w:before="60" w:after="60"/>
        <w:ind w:right="278" w:firstLine="488"/>
        <w:rPr>
          <w:rFonts w:hint="default"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违约金=信息系统云服务费/服务月数*系数</w:t>
      </w:r>
    </w:p>
    <w:tbl>
      <w:tblPr>
        <w:tblStyle w:val="5"/>
        <w:tblW w:w="8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202"/>
        <w:gridCol w:w="1283"/>
      </w:tblGrid>
      <w:tr w14:paraId="74F08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4" w:type="dxa"/>
            <w:vAlign w:val="top"/>
          </w:tcPr>
          <w:p w14:paraId="41425FBD">
            <w:pPr>
              <w:pStyle w:val="6"/>
              <w:spacing w:before="121" w:line="221" w:lineRule="auto"/>
              <w:ind w:left="67"/>
            </w:pPr>
            <w:r>
              <w:rPr>
                <w:b/>
                <w:bCs/>
                <w:spacing w:val="-5"/>
              </w:rPr>
              <w:t>序号</w:t>
            </w:r>
          </w:p>
        </w:tc>
        <w:tc>
          <w:tcPr>
            <w:tcW w:w="6202" w:type="dxa"/>
            <w:vAlign w:val="top"/>
          </w:tcPr>
          <w:p w14:paraId="3541C771">
            <w:pPr>
              <w:pStyle w:val="6"/>
              <w:spacing w:before="123" w:line="221" w:lineRule="auto"/>
              <w:ind w:left="2653"/>
            </w:pPr>
            <w:r>
              <w:rPr>
                <w:b/>
                <w:bCs/>
                <w:spacing w:val="-2"/>
              </w:rPr>
              <w:t>问题描述</w:t>
            </w:r>
          </w:p>
        </w:tc>
        <w:tc>
          <w:tcPr>
            <w:tcW w:w="1283" w:type="dxa"/>
            <w:vAlign w:val="top"/>
          </w:tcPr>
          <w:p w14:paraId="0E61D72B">
            <w:pPr>
              <w:pStyle w:val="6"/>
              <w:spacing w:before="120" w:line="219" w:lineRule="auto"/>
              <w:ind w:left="251"/>
            </w:pPr>
            <w:r>
              <w:rPr>
                <w:b/>
                <w:bCs/>
                <w:spacing w:val="-5"/>
              </w:rPr>
              <w:t>惩罚系数</w:t>
            </w:r>
          </w:p>
        </w:tc>
      </w:tr>
      <w:tr w14:paraId="4F6B1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34" w:type="dxa"/>
            <w:vAlign w:val="center"/>
          </w:tcPr>
          <w:p w14:paraId="17F37FC6">
            <w:pPr>
              <w:pStyle w:val="6"/>
              <w:spacing w:before="69" w:line="241" w:lineRule="auto"/>
              <w:ind w:left="64"/>
              <w:jc w:val="center"/>
            </w:pPr>
            <w:r>
              <w:t>1</w:t>
            </w:r>
          </w:p>
        </w:tc>
        <w:tc>
          <w:tcPr>
            <w:tcW w:w="6202" w:type="dxa"/>
            <w:vAlign w:val="center"/>
          </w:tcPr>
          <w:p w14:paraId="366FF530">
            <w:pPr>
              <w:pStyle w:val="6"/>
              <w:spacing w:before="256" w:line="251" w:lineRule="auto"/>
              <w:ind w:left="90" w:right="156"/>
              <w:jc w:val="left"/>
            </w:pPr>
            <w:r>
              <w:rPr>
                <w:spacing w:val="2"/>
              </w:rPr>
              <w:t>所提供的云服务可用性低于99.99%,或数据可用性低于</w:t>
            </w:r>
            <w:r>
              <w:rPr>
                <w:spacing w:val="1"/>
              </w:rPr>
              <w:t>99.9999%,</w:t>
            </w:r>
            <w:r>
              <w:t xml:space="preserve"> </w:t>
            </w:r>
            <w:r>
              <w:rPr>
                <w:spacing w:val="1"/>
              </w:rPr>
              <w:t>出现问题并造成重大损失的</w:t>
            </w:r>
          </w:p>
        </w:tc>
        <w:tc>
          <w:tcPr>
            <w:tcW w:w="1283" w:type="dxa"/>
            <w:vAlign w:val="center"/>
          </w:tcPr>
          <w:p w14:paraId="636E2454">
            <w:pPr>
              <w:pStyle w:val="6"/>
              <w:spacing w:before="68"/>
              <w:ind w:left="88"/>
              <w:jc w:val="center"/>
            </w:pPr>
            <w:r>
              <w:rPr>
                <w:spacing w:val="-3"/>
              </w:rPr>
              <w:t>200%</w:t>
            </w:r>
          </w:p>
        </w:tc>
      </w:tr>
      <w:tr w14:paraId="48E5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34" w:type="dxa"/>
            <w:vAlign w:val="center"/>
          </w:tcPr>
          <w:p w14:paraId="4076C0EE">
            <w:pPr>
              <w:pStyle w:val="6"/>
              <w:spacing w:before="68" w:line="241" w:lineRule="auto"/>
              <w:ind w:left="64"/>
              <w:jc w:val="center"/>
            </w:pPr>
            <w:r>
              <w:t>2</w:t>
            </w:r>
          </w:p>
        </w:tc>
        <w:tc>
          <w:tcPr>
            <w:tcW w:w="6202" w:type="dxa"/>
            <w:vAlign w:val="center"/>
          </w:tcPr>
          <w:p w14:paraId="6E1C82A1">
            <w:pPr>
              <w:pStyle w:val="6"/>
              <w:spacing w:before="270" w:line="215" w:lineRule="auto"/>
              <w:ind w:left="90" w:firstLine="19"/>
              <w:jc w:val="left"/>
            </w:pPr>
            <w:r>
              <w:rPr>
                <w:spacing w:val="-7"/>
              </w:rPr>
              <w:t>因未做好系统和数据互备，由于另一家云服务</w:t>
            </w:r>
            <w:r>
              <w:rPr>
                <w:spacing w:val="-8"/>
              </w:rPr>
              <w:t>商服务中断，而导致系</w:t>
            </w:r>
            <w:r>
              <w:t>统和数据无法正常应用的，但影响未达到B级及以上事故影响的</w:t>
            </w:r>
          </w:p>
        </w:tc>
        <w:tc>
          <w:tcPr>
            <w:tcW w:w="1283" w:type="dxa"/>
            <w:vAlign w:val="center"/>
          </w:tcPr>
          <w:p w14:paraId="46875A50">
            <w:pPr>
              <w:pStyle w:val="6"/>
              <w:spacing w:before="68"/>
              <w:ind w:left="88"/>
              <w:jc w:val="center"/>
            </w:pPr>
            <w:r>
              <w:rPr>
                <w:spacing w:val="-3"/>
              </w:rPr>
              <w:t>200%</w:t>
            </w:r>
          </w:p>
        </w:tc>
      </w:tr>
      <w:tr w14:paraId="09B4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4" w:type="dxa"/>
            <w:vAlign w:val="center"/>
          </w:tcPr>
          <w:p w14:paraId="5E1E6D8B">
            <w:pPr>
              <w:pStyle w:val="6"/>
              <w:spacing w:before="68"/>
              <w:ind w:left="64"/>
              <w:jc w:val="center"/>
            </w:pPr>
            <w:r>
              <w:t>3</w:t>
            </w:r>
          </w:p>
        </w:tc>
        <w:tc>
          <w:tcPr>
            <w:tcW w:w="6202" w:type="dxa"/>
            <w:vAlign w:val="center"/>
          </w:tcPr>
          <w:p w14:paraId="38422223">
            <w:pPr>
              <w:pStyle w:val="6"/>
              <w:spacing w:before="131" w:line="210" w:lineRule="auto"/>
              <w:ind w:left="89" w:hanging="9"/>
              <w:jc w:val="left"/>
            </w:pPr>
            <w:r>
              <w:rPr>
                <w:spacing w:val="-6"/>
              </w:rPr>
              <w:t>因所提供的安全服务出现故障，导致某系统网</w:t>
            </w:r>
            <w:r>
              <w:rPr>
                <w:spacing w:val="-7"/>
              </w:rPr>
              <w:t>页被篡改，造成重大影</w:t>
            </w:r>
            <w:r>
              <w:t>响</w:t>
            </w:r>
          </w:p>
        </w:tc>
        <w:tc>
          <w:tcPr>
            <w:tcW w:w="1283" w:type="dxa"/>
            <w:vAlign w:val="center"/>
          </w:tcPr>
          <w:p w14:paraId="19BE7287">
            <w:pPr>
              <w:pStyle w:val="6"/>
              <w:spacing w:before="68"/>
              <w:ind w:left="88"/>
              <w:jc w:val="center"/>
            </w:pPr>
            <w:r>
              <w:rPr>
                <w:spacing w:val="-2"/>
              </w:rPr>
              <w:t>600%</w:t>
            </w:r>
          </w:p>
        </w:tc>
      </w:tr>
      <w:tr w14:paraId="2CBD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center"/>
          </w:tcPr>
          <w:p w14:paraId="28A181A7">
            <w:pPr>
              <w:pStyle w:val="6"/>
              <w:spacing w:before="213" w:line="190" w:lineRule="auto"/>
              <w:ind w:left="64"/>
              <w:jc w:val="center"/>
              <w:rPr>
                <w:rFonts w:hint="eastAsia" w:eastAsia="宋体"/>
                <w:lang w:val="en-US" w:eastAsia="zh-CN"/>
              </w:rPr>
            </w:pPr>
            <w:r>
              <w:rPr>
                <w:rFonts w:hint="eastAsia"/>
                <w:lang w:val="en-US" w:eastAsia="zh-CN"/>
              </w:rPr>
              <w:t>4</w:t>
            </w:r>
          </w:p>
        </w:tc>
        <w:tc>
          <w:tcPr>
            <w:tcW w:w="6202" w:type="dxa"/>
            <w:vAlign w:val="center"/>
          </w:tcPr>
          <w:p w14:paraId="58760FD4">
            <w:pPr>
              <w:pStyle w:val="6"/>
              <w:spacing w:before="182" w:line="218" w:lineRule="auto"/>
              <w:jc w:val="left"/>
            </w:pPr>
            <w:r>
              <w:rPr>
                <w:spacing w:val="-7"/>
              </w:rPr>
              <w:t>因所提供的安全服务出现故障，导致某系统数据丢失，造成重大影响</w:t>
            </w:r>
          </w:p>
        </w:tc>
        <w:tc>
          <w:tcPr>
            <w:tcW w:w="1283" w:type="dxa"/>
            <w:vAlign w:val="center"/>
          </w:tcPr>
          <w:p w14:paraId="5B511F3C">
            <w:pPr>
              <w:pStyle w:val="6"/>
              <w:spacing w:before="213" w:line="190" w:lineRule="auto"/>
              <w:ind w:left="88"/>
              <w:jc w:val="center"/>
            </w:pPr>
            <w:r>
              <w:rPr>
                <w:spacing w:val="-2"/>
              </w:rPr>
              <w:t>600%</w:t>
            </w:r>
          </w:p>
        </w:tc>
      </w:tr>
      <w:tr w14:paraId="4A8F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4" w:type="dxa"/>
            <w:vAlign w:val="center"/>
          </w:tcPr>
          <w:p w14:paraId="1E968922">
            <w:pPr>
              <w:pStyle w:val="6"/>
              <w:spacing w:before="224" w:line="189" w:lineRule="auto"/>
              <w:ind w:left="64"/>
              <w:jc w:val="center"/>
            </w:pPr>
            <w:r>
              <w:t>5</w:t>
            </w:r>
          </w:p>
        </w:tc>
        <w:tc>
          <w:tcPr>
            <w:tcW w:w="6202" w:type="dxa"/>
            <w:vAlign w:val="center"/>
          </w:tcPr>
          <w:p w14:paraId="7F95A598">
            <w:pPr>
              <w:pStyle w:val="6"/>
              <w:spacing w:before="181" w:line="219" w:lineRule="auto"/>
              <w:jc w:val="left"/>
            </w:pPr>
            <w:r>
              <w:t>因所提供的安全服务出现故障，导致某系统被入侵，造成重大影响</w:t>
            </w:r>
          </w:p>
        </w:tc>
        <w:tc>
          <w:tcPr>
            <w:tcW w:w="1283" w:type="dxa"/>
            <w:vAlign w:val="center"/>
          </w:tcPr>
          <w:p w14:paraId="7EEA35AA">
            <w:pPr>
              <w:pStyle w:val="6"/>
              <w:spacing w:before="224" w:line="189" w:lineRule="auto"/>
              <w:ind w:left="88"/>
              <w:jc w:val="center"/>
            </w:pPr>
            <w:r>
              <w:rPr>
                <w:spacing w:val="-2"/>
              </w:rPr>
              <w:t>600%</w:t>
            </w:r>
          </w:p>
        </w:tc>
      </w:tr>
      <w:tr w14:paraId="41ECE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34" w:type="dxa"/>
            <w:vAlign w:val="center"/>
          </w:tcPr>
          <w:p w14:paraId="1AD4B09E">
            <w:pPr>
              <w:pStyle w:val="6"/>
              <w:spacing w:before="69"/>
              <w:ind w:left="64"/>
              <w:jc w:val="center"/>
            </w:pPr>
            <w:r>
              <w:t>6</w:t>
            </w:r>
          </w:p>
        </w:tc>
        <w:tc>
          <w:tcPr>
            <w:tcW w:w="6202" w:type="dxa"/>
            <w:vAlign w:val="center"/>
          </w:tcPr>
          <w:p w14:paraId="1B938A83">
            <w:pPr>
              <w:pStyle w:val="6"/>
              <w:spacing w:before="283" w:line="216" w:lineRule="auto"/>
              <w:jc w:val="left"/>
            </w:pPr>
            <w:r>
              <w:rPr>
                <w:spacing w:val="-7"/>
              </w:rPr>
              <w:t>在云安全监管服务商已发出整改通知后未正确处置，出现问题并造成</w:t>
            </w:r>
            <w:r>
              <w:t xml:space="preserve"> </w:t>
            </w:r>
            <w:r>
              <w:rPr>
                <w:spacing w:val="-2"/>
              </w:rPr>
              <w:t>重大事故</w:t>
            </w:r>
          </w:p>
        </w:tc>
        <w:tc>
          <w:tcPr>
            <w:tcW w:w="1283" w:type="dxa"/>
            <w:vAlign w:val="center"/>
          </w:tcPr>
          <w:p w14:paraId="02C2C07D">
            <w:pPr>
              <w:pStyle w:val="6"/>
              <w:spacing w:before="68"/>
              <w:ind w:left="88"/>
              <w:jc w:val="center"/>
            </w:pPr>
            <w:r>
              <w:rPr>
                <w:spacing w:val="-3"/>
              </w:rPr>
              <w:t>200%</w:t>
            </w:r>
          </w:p>
        </w:tc>
      </w:tr>
      <w:tr w14:paraId="3D93F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34" w:type="dxa"/>
            <w:vAlign w:val="center"/>
          </w:tcPr>
          <w:p w14:paraId="490B3BE8">
            <w:pPr>
              <w:pStyle w:val="6"/>
              <w:spacing w:before="225" w:line="179" w:lineRule="auto"/>
              <w:ind w:left="64"/>
              <w:jc w:val="center"/>
            </w:pPr>
            <w:r>
              <w:t>7</w:t>
            </w:r>
          </w:p>
        </w:tc>
        <w:tc>
          <w:tcPr>
            <w:tcW w:w="6202" w:type="dxa"/>
            <w:vAlign w:val="center"/>
          </w:tcPr>
          <w:p w14:paraId="3320DED8">
            <w:pPr>
              <w:pStyle w:val="6"/>
              <w:spacing w:before="175" w:line="220" w:lineRule="auto"/>
              <w:ind w:left="90"/>
              <w:jc w:val="left"/>
            </w:pPr>
            <w:r>
              <w:rPr>
                <w:spacing w:val="-1"/>
              </w:rPr>
              <w:t>平均响应时间大于15分钟且小于30分钟，造成重大事故</w:t>
            </w:r>
          </w:p>
        </w:tc>
        <w:tc>
          <w:tcPr>
            <w:tcW w:w="1283" w:type="dxa"/>
            <w:vAlign w:val="center"/>
          </w:tcPr>
          <w:p w14:paraId="36D4FA4E">
            <w:pPr>
              <w:pStyle w:val="6"/>
              <w:spacing w:before="215" w:line="188" w:lineRule="auto"/>
              <w:ind w:left="88"/>
              <w:jc w:val="center"/>
            </w:pPr>
            <w:r>
              <w:rPr>
                <w:spacing w:val="-3"/>
              </w:rPr>
              <w:t>200%</w:t>
            </w:r>
          </w:p>
        </w:tc>
      </w:tr>
      <w:tr w14:paraId="5F9E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34" w:type="dxa"/>
            <w:vAlign w:val="center"/>
          </w:tcPr>
          <w:p w14:paraId="03A47039">
            <w:pPr>
              <w:pStyle w:val="6"/>
              <w:spacing w:before="217" w:line="196" w:lineRule="auto"/>
              <w:ind w:left="64"/>
              <w:jc w:val="center"/>
            </w:pPr>
            <w:r>
              <w:t>8</w:t>
            </w:r>
          </w:p>
        </w:tc>
        <w:tc>
          <w:tcPr>
            <w:tcW w:w="6202" w:type="dxa"/>
            <w:vAlign w:val="center"/>
          </w:tcPr>
          <w:p w14:paraId="49282358">
            <w:pPr>
              <w:pStyle w:val="6"/>
              <w:spacing w:before="196" w:line="214" w:lineRule="auto"/>
              <w:ind w:left="90"/>
              <w:jc w:val="left"/>
            </w:pPr>
            <w:r>
              <w:t>运维需求平均响应时间大于30分钟且小于60</w:t>
            </w:r>
            <w:r>
              <w:rPr>
                <w:spacing w:val="-1"/>
              </w:rPr>
              <w:t>分钟，造成重大事故</w:t>
            </w:r>
          </w:p>
        </w:tc>
        <w:tc>
          <w:tcPr>
            <w:tcW w:w="1283" w:type="dxa"/>
            <w:vAlign w:val="center"/>
          </w:tcPr>
          <w:p w14:paraId="21FA6159">
            <w:pPr>
              <w:pStyle w:val="6"/>
              <w:spacing w:before="236" w:line="179" w:lineRule="auto"/>
              <w:ind w:left="88"/>
              <w:jc w:val="center"/>
            </w:pPr>
            <w:r>
              <w:rPr>
                <w:spacing w:val="-3"/>
              </w:rPr>
              <w:t>200%</w:t>
            </w:r>
          </w:p>
        </w:tc>
      </w:tr>
      <w:tr w14:paraId="668D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4" w:type="dxa"/>
            <w:vAlign w:val="center"/>
          </w:tcPr>
          <w:p w14:paraId="68A76BEF">
            <w:pPr>
              <w:pStyle w:val="6"/>
              <w:spacing w:before="306"/>
              <w:jc w:val="center"/>
              <w:rPr>
                <w:rFonts w:hint="eastAsia" w:eastAsia="宋体"/>
                <w:lang w:val="en-US" w:eastAsia="zh-CN"/>
              </w:rPr>
            </w:pPr>
            <w:r>
              <w:rPr>
                <w:rFonts w:hint="eastAsia"/>
                <w:lang w:val="en-US" w:eastAsia="zh-CN"/>
              </w:rPr>
              <w:t>9</w:t>
            </w:r>
          </w:p>
        </w:tc>
        <w:tc>
          <w:tcPr>
            <w:tcW w:w="6202" w:type="dxa"/>
            <w:vAlign w:val="center"/>
          </w:tcPr>
          <w:p w14:paraId="0DFA5DFC">
            <w:pPr>
              <w:pStyle w:val="6"/>
              <w:spacing w:before="104" w:line="209" w:lineRule="auto"/>
              <w:ind w:left="90" w:right="229"/>
              <w:jc w:val="left"/>
            </w:pPr>
            <w:r>
              <w:t>运维需求平均故障恢复时间大于30分钟且小</w:t>
            </w:r>
            <w:r>
              <w:rPr>
                <w:spacing w:val="-1"/>
              </w:rPr>
              <w:t>于60分钟，造成重大</w:t>
            </w:r>
            <w:r>
              <w:rPr>
                <w:spacing w:val="8"/>
              </w:rPr>
              <w:t>影响</w:t>
            </w:r>
          </w:p>
        </w:tc>
        <w:tc>
          <w:tcPr>
            <w:tcW w:w="1283" w:type="dxa"/>
            <w:vAlign w:val="center"/>
          </w:tcPr>
          <w:p w14:paraId="574635D1">
            <w:pPr>
              <w:pStyle w:val="6"/>
              <w:spacing w:before="236" w:line="179" w:lineRule="auto"/>
              <w:ind w:left="88"/>
              <w:jc w:val="center"/>
            </w:pPr>
            <w:r>
              <w:rPr>
                <w:rFonts w:hint="eastAsia"/>
                <w:spacing w:val="-3"/>
                <w:lang w:val="en-US" w:eastAsia="zh-CN"/>
              </w:rPr>
              <w:t>1</w:t>
            </w:r>
            <w:r>
              <w:rPr>
                <w:spacing w:val="-3"/>
              </w:rPr>
              <w:t>00%</w:t>
            </w:r>
          </w:p>
        </w:tc>
      </w:tr>
      <w:tr w14:paraId="5F6E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4" w:type="dxa"/>
            <w:vAlign w:val="center"/>
          </w:tcPr>
          <w:p w14:paraId="349D34EB">
            <w:pPr>
              <w:pStyle w:val="6"/>
              <w:spacing w:before="68"/>
              <w:ind w:left="64"/>
              <w:jc w:val="center"/>
            </w:pPr>
            <w:r>
              <w:rPr>
                <w:spacing w:val="-6"/>
              </w:rPr>
              <w:t>10</w:t>
            </w:r>
          </w:p>
        </w:tc>
        <w:tc>
          <w:tcPr>
            <w:tcW w:w="6202" w:type="dxa"/>
            <w:vAlign w:val="center"/>
          </w:tcPr>
          <w:p w14:paraId="1458AE29">
            <w:pPr>
              <w:pStyle w:val="6"/>
              <w:spacing w:before="176" w:line="212" w:lineRule="auto"/>
              <w:ind w:left="90" w:right="124"/>
              <w:jc w:val="left"/>
            </w:pPr>
            <w:r>
              <w:t>运维需求平均故障恢复时间大于60分钟且小于</w:t>
            </w:r>
            <w:r>
              <w:rPr>
                <w:spacing w:val="-1"/>
              </w:rPr>
              <w:t>120分钟，造成重大</w:t>
            </w:r>
            <w:r>
              <w:rPr>
                <w:spacing w:val="8"/>
              </w:rPr>
              <w:t>影响</w:t>
            </w:r>
          </w:p>
        </w:tc>
        <w:tc>
          <w:tcPr>
            <w:tcW w:w="1283" w:type="dxa"/>
            <w:vAlign w:val="center"/>
          </w:tcPr>
          <w:p w14:paraId="30338F7A">
            <w:pPr>
              <w:pStyle w:val="6"/>
              <w:spacing w:before="68"/>
              <w:ind w:left="88"/>
              <w:jc w:val="center"/>
            </w:pPr>
            <w:r>
              <w:rPr>
                <w:spacing w:val="-3"/>
              </w:rPr>
              <w:t>200%</w:t>
            </w:r>
          </w:p>
        </w:tc>
      </w:tr>
      <w:tr w14:paraId="2D00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34" w:type="dxa"/>
            <w:vAlign w:val="center"/>
          </w:tcPr>
          <w:p w14:paraId="418E3FBE">
            <w:pPr>
              <w:pStyle w:val="6"/>
              <w:spacing w:before="218" w:line="195" w:lineRule="auto"/>
              <w:ind w:left="64"/>
              <w:jc w:val="center"/>
            </w:pPr>
            <w:r>
              <w:rPr>
                <w:spacing w:val="-6"/>
              </w:rPr>
              <w:t>11</w:t>
            </w:r>
          </w:p>
        </w:tc>
        <w:tc>
          <w:tcPr>
            <w:tcW w:w="6202" w:type="dxa"/>
            <w:vAlign w:val="center"/>
          </w:tcPr>
          <w:p w14:paraId="58657EAD">
            <w:pPr>
              <w:pStyle w:val="6"/>
              <w:spacing w:before="197" w:line="213" w:lineRule="auto"/>
              <w:ind w:left="90"/>
              <w:jc w:val="left"/>
            </w:pPr>
            <w:r>
              <w:rPr>
                <w:spacing w:val="-1"/>
              </w:rPr>
              <w:t>现场无人值守超过大于1小时且小于2小时，造成重大事故</w:t>
            </w:r>
          </w:p>
        </w:tc>
        <w:tc>
          <w:tcPr>
            <w:tcW w:w="1283" w:type="dxa"/>
            <w:vAlign w:val="center"/>
          </w:tcPr>
          <w:p w14:paraId="38FC7384">
            <w:pPr>
              <w:pStyle w:val="6"/>
              <w:spacing w:before="248" w:line="168" w:lineRule="auto"/>
              <w:ind w:left="88"/>
              <w:jc w:val="center"/>
            </w:pPr>
            <w:r>
              <w:rPr>
                <w:spacing w:val="-5"/>
              </w:rPr>
              <w:t>100%</w:t>
            </w:r>
          </w:p>
        </w:tc>
      </w:tr>
      <w:tr w14:paraId="26DC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4" w:type="dxa"/>
            <w:vAlign w:val="center"/>
          </w:tcPr>
          <w:p w14:paraId="4E645F6A">
            <w:pPr>
              <w:pStyle w:val="6"/>
              <w:spacing w:before="218" w:line="198" w:lineRule="auto"/>
              <w:ind w:left="64"/>
              <w:jc w:val="center"/>
            </w:pPr>
            <w:r>
              <w:rPr>
                <w:spacing w:val="-6"/>
              </w:rPr>
              <w:t>12</w:t>
            </w:r>
          </w:p>
        </w:tc>
        <w:tc>
          <w:tcPr>
            <w:tcW w:w="6202" w:type="dxa"/>
            <w:vAlign w:val="center"/>
          </w:tcPr>
          <w:p w14:paraId="62C6D919">
            <w:pPr>
              <w:pStyle w:val="6"/>
              <w:spacing w:before="197" w:line="217" w:lineRule="auto"/>
              <w:ind w:left="90"/>
              <w:jc w:val="left"/>
            </w:pPr>
            <w:r>
              <w:rPr>
                <w:spacing w:val="-1"/>
              </w:rPr>
              <w:t>现场无人值守超过大于2小时且小于4小时，造成重大事故</w:t>
            </w:r>
          </w:p>
        </w:tc>
        <w:tc>
          <w:tcPr>
            <w:tcW w:w="1283" w:type="dxa"/>
            <w:vAlign w:val="center"/>
          </w:tcPr>
          <w:p w14:paraId="601761D7">
            <w:pPr>
              <w:pStyle w:val="6"/>
              <w:spacing w:before="238" w:line="181" w:lineRule="auto"/>
              <w:ind w:left="88"/>
              <w:jc w:val="center"/>
            </w:pPr>
            <w:r>
              <w:rPr>
                <w:spacing w:val="-3"/>
              </w:rPr>
              <w:t>200%</w:t>
            </w:r>
          </w:p>
        </w:tc>
      </w:tr>
    </w:tbl>
    <w:p w14:paraId="4FF9E26C">
      <w:pPr>
        <w:rPr>
          <w:color w:val="auto"/>
        </w:rPr>
      </w:pPr>
      <w:r>
        <w:rPr>
          <w:color w:val="auto"/>
        </w:rPr>
        <w:br w:type="page"/>
      </w:r>
    </w:p>
    <w:p w14:paraId="4CBCECDD">
      <w:pPr>
        <w:spacing w:before="60" w:after="60"/>
        <w:ind w:right="278" w:firstLine="488"/>
        <w:rPr>
          <w:rFonts w:hint="eastAsia" w:ascii="宋体" w:hAnsi="宋体" w:eastAsia="宋体" w:cs="宋体"/>
          <w:b/>
          <w:bCs/>
          <w:color w:val="auto"/>
          <w:spacing w:val="11"/>
          <w:sz w:val="22"/>
          <w:szCs w:val="22"/>
          <w:lang w:val="en-US" w:eastAsia="zh-CN"/>
        </w:rPr>
      </w:pPr>
      <w:r>
        <w:rPr>
          <w:rFonts w:hint="eastAsia" w:ascii="宋体" w:hAnsi="宋体" w:eastAsia="宋体" w:cs="宋体"/>
          <w:b/>
          <w:bCs/>
          <w:color w:val="auto"/>
          <w:spacing w:val="11"/>
          <w:sz w:val="22"/>
          <w:szCs w:val="22"/>
          <w:lang w:val="en-US" w:eastAsia="zh-CN"/>
        </w:rPr>
        <w:t xml:space="preserve">附件3 </w:t>
      </w:r>
    </w:p>
    <w:p w14:paraId="181C8FA5">
      <w:pPr>
        <w:spacing w:before="60" w:after="60"/>
        <w:ind w:right="278" w:firstLine="488"/>
        <w:jc w:val="center"/>
        <w:rPr>
          <w:rFonts w:hint="eastAsia" w:ascii="宋体" w:hAnsi="宋体" w:eastAsia="宋体" w:cs="宋体"/>
          <w:b/>
          <w:bCs/>
          <w:color w:val="auto"/>
          <w:spacing w:val="11"/>
          <w:sz w:val="24"/>
          <w:szCs w:val="24"/>
          <w:lang w:val="en-US" w:eastAsia="zh-CN"/>
        </w:rPr>
      </w:pPr>
      <w:r>
        <w:rPr>
          <w:rFonts w:hint="eastAsia" w:ascii="宋体" w:hAnsi="宋体" w:eastAsia="宋体" w:cs="宋体"/>
          <w:b/>
          <w:bCs/>
          <w:color w:val="auto"/>
          <w:spacing w:val="11"/>
          <w:sz w:val="24"/>
          <w:szCs w:val="24"/>
          <w:lang w:val="en-US" w:eastAsia="zh-CN"/>
        </w:rPr>
        <w:t>一般违约行为表</w:t>
      </w:r>
    </w:p>
    <w:p w14:paraId="0F412694">
      <w:pPr>
        <w:spacing w:before="60" w:after="60"/>
        <w:ind w:right="278" w:firstLine="488"/>
        <w:rPr>
          <w:rFonts w:hint="default"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违约金=信息系统云服务费/服务月数*系数</w:t>
      </w:r>
    </w:p>
    <w:tbl>
      <w:tblPr>
        <w:tblStyle w:val="5"/>
        <w:tblW w:w="8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381"/>
        <w:gridCol w:w="1104"/>
      </w:tblGrid>
      <w:tr w14:paraId="3DF9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4" w:type="dxa"/>
            <w:vAlign w:val="top"/>
          </w:tcPr>
          <w:p w14:paraId="613771D5">
            <w:pPr>
              <w:pStyle w:val="6"/>
              <w:spacing w:before="121" w:line="221" w:lineRule="auto"/>
              <w:ind w:left="67"/>
            </w:pPr>
            <w:r>
              <w:rPr>
                <w:b/>
                <w:bCs/>
                <w:spacing w:val="-5"/>
              </w:rPr>
              <w:t>序号</w:t>
            </w:r>
          </w:p>
        </w:tc>
        <w:tc>
          <w:tcPr>
            <w:tcW w:w="6381" w:type="dxa"/>
            <w:vAlign w:val="top"/>
          </w:tcPr>
          <w:p w14:paraId="39E88D01">
            <w:pPr>
              <w:pStyle w:val="6"/>
              <w:spacing w:before="123" w:line="221" w:lineRule="auto"/>
              <w:ind w:left="2653"/>
            </w:pPr>
            <w:r>
              <w:rPr>
                <w:b/>
                <w:bCs/>
                <w:spacing w:val="-2"/>
              </w:rPr>
              <w:t>问题描述</w:t>
            </w:r>
          </w:p>
        </w:tc>
        <w:tc>
          <w:tcPr>
            <w:tcW w:w="1104" w:type="dxa"/>
            <w:vAlign w:val="top"/>
          </w:tcPr>
          <w:p w14:paraId="20EBE714">
            <w:pPr>
              <w:pStyle w:val="6"/>
              <w:spacing w:before="120" w:line="219" w:lineRule="auto"/>
              <w:ind w:left="251"/>
            </w:pPr>
            <w:r>
              <w:rPr>
                <w:b/>
                <w:bCs/>
                <w:spacing w:val="-5"/>
              </w:rPr>
              <w:t>惩罚系数</w:t>
            </w:r>
          </w:p>
        </w:tc>
      </w:tr>
      <w:tr w14:paraId="7EC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34" w:type="dxa"/>
            <w:vAlign w:val="center"/>
          </w:tcPr>
          <w:p w14:paraId="65A3457C">
            <w:pPr>
              <w:pStyle w:val="6"/>
              <w:spacing w:before="69" w:line="241" w:lineRule="auto"/>
              <w:ind w:left="64"/>
              <w:jc w:val="center"/>
            </w:pPr>
            <w:r>
              <w:t>1</w:t>
            </w:r>
          </w:p>
        </w:tc>
        <w:tc>
          <w:tcPr>
            <w:tcW w:w="6381" w:type="dxa"/>
            <w:vAlign w:val="center"/>
          </w:tcPr>
          <w:p w14:paraId="5BDF02C9">
            <w:pPr>
              <w:pStyle w:val="6"/>
              <w:spacing w:before="206" w:line="305" w:lineRule="auto"/>
              <w:ind w:right="85" w:rightChars="0"/>
              <w:jc w:val="both"/>
            </w:pPr>
            <w:r>
              <w:rPr>
                <w:spacing w:val="2"/>
              </w:rPr>
              <w:t>所提供的云服务可用性达不到99.99%,或数据可用性低</w:t>
            </w:r>
            <w:r>
              <w:rPr>
                <w:spacing w:val="1"/>
              </w:rPr>
              <w:t>于99.9999%,</w:t>
            </w:r>
            <w:r>
              <w:t xml:space="preserve"> </w:t>
            </w:r>
            <w:r>
              <w:rPr>
                <w:spacing w:val="1"/>
              </w:rPr>
              <w:t>出现问题但未造成重大损失的</w:t>
            </w:r>
          </w:p>
        </w:tc>
        <w:tc>
          <w:tcPr>
            <w:tcW w:w="1104" w:type="dxa"/>
            <w:vAlign w:val="center"/>
          </w:tcPr>
          <w:p w14:paraId="1AC4EE99">
            <w:pPr>
              <w:pStyle w:val="6"/>
              <w:spacing w:before="68"/>
              <w:ind w:left="89" w:leftChars="0"/>
              <w:jc w:val="center"/>
            </w:pPr>
            <w:r>
              <w:rPr>
                <w:spacing w:val="-3"/>
              </w:rPr>
              <w:t>50%</w:t>
            </w:r>
          </w:p>
        </w:tc>
      </w:tr>
      <w:tr w14:paraId="0B0B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34" w:type="dxa"/>
            <w:vAlign w:val="center"/>
          </w:tcPr>
          <w:p w14:paraId="5EAF59A9">
            <w:pPr>
              <w:pStyle w:val="6"/>
              <w:spacing w:before="68" w:line="241" w:lineRule="auto"/>
              <w:ind w:left="64"/>
              <w:jc w:val="center"/>
            </w:pPr>
            <w:r>
              <w:t>2</w:t>
            </w:r>
          </w:p>
        </w:tc>
        <w:tc>
          <w:tcPr>
            <w:tcW w:w="6381" w:type="dxa"/>
            <w:vAlign w:val="center"/>
          </w:tcPr>
          <w:p w14:paraId="09E7793C">
            <w:pPr>
              <w:pStyle w:val="6"/>
              <w:spacing w:before="184" w:line="301" w:lineRule="auto"/>
              <w:ind w:right="85" w:rightChars="0"/>
              <w:jc w:val="both"/>
            </w:pPr>
            <w:r>
              <w:rPr>
                <w:spacing w:val="2"/>
              </w:rPr>
              <w:t>所提供的云服务可用性达不到99.99%,或数据可用性低</w:t>
            </w:r>
            <w:r>
              <w:rPr>
                <w:spacing w:val="1"/>
              </w:rPr>
              <w:t>于99.9999%,</w:t>
            </w:r>
            <w:r>
              <w:t xml:space="preserve"> </w:t>
            </w:r>
            <w:r>
              <w:rPr>
                <w:spacing w:val="-1"/>
              </w:rPr>
              <w:t>且在服务期内接到用户投诉此类情况3次以上的</w:t>
            </w:r>
          </w:p>
        </w:tc>
        <w:tc>
          <w:tcPr>
            <w:tcW w:w="1104" w:type="dxa"/>
            <w:vAlign w:val="center"/>
          </w:tcPr>
          <w:p w14:paraId="064F2BB4">
            <w:pPr>
              <w:pStyle w:val="6"/>
              <w:spacing w:before="68"/>
              <w:ind w:left="89" w:leftChars="0"/>
              <w:jc w:val="center"/>
            </w:pPr>
            <w:r>
              <w:rPr>
                <w:spacing w:val="-3"/>
              </w:rPr>
              <w:t>20%</w:t>
            </w:r>
          </w:p>
        </w:tc>
      </w:tr>
      <w:tr w14:paraId="2024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34" w:type="dxa"/>
            <w:vAlign w:val="center"/>
          </w:tcPr>
          <w:p w14:paraId="2399B87E">
            <w:pPr>
              <w:pStyle w:val="6"/>
              <w:spacing w:before="68"/>
              <w:ind w:left="64"/>
              <w:jc w:val="center"/>
            </w:pPr>
            <w:r>
              <w:t>3</w:t>
            </w:r>
          </w:p>
        </w:tc>
        <w:tc>
          <w:tcPr>
            <w:tcW w:w="6381" w:type="dxa"/>
            <w:vAlign w:val="center"/>
          </w:tcPr>
          <w:p w14:paraId="74B2DCE0">
            <w:pPr>
              <w:pStyle w:val="6"/>
              <w:spacing w:before="270" w:line="248" w:lineRule="auto"/>
              <w:ind w:right="53" w:rightChars="0"/>
              <w:jc w:val="both"/>
            </w:pPr>
            <w:r>
              <w:t>在运营期间，甲方对乙方实施月度考核，如乙方</w:t>
            </w:r>
            <w:r>
              <w:rPr>
                <w:spacing w:val="-1"/>
              </w:rPr>
              <w:t>连续3次未能通过考</w:t>
            </w:r>
            <w:r>
              <w:t>核，经限期整改后仍不能达到甲方要求的</w:t>
            </w:r>
          </w:p>
        </w:tc>
        <w:tc>
          <w:tcPr>
            <w:tcW w:w="1104" w:type="dxa"/>
            <w:vAlign w:val="center"/>
          </w:tcPr>
          <w:p w14:paraId="7220B214">
            <w:pPr>
              <w:pStyle w:val="6"/>
              <w:spacing w:before="68"/>
              <w:ind w:left="89" w:leftChars="0"/>
              <w:jc w:val="center"/>
            </w:pPr>
            <w:r>
              <w:rPr>
                <w:spacing w:val="-3"/>
              </w:rPr>
              <w:t>20%</w:t>
            </w:r>
          </w:p>
        </w:tc>
      </w:tr>
      <w:tr w14:paraId="2BEE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center"/>
          </w:tcPr>
          <w:p w14:paraId="1FD1B739">
            <w:pPr>
              <w:pStyle w:val="6"/>
              <w:spacing w:before="213" w:line="190" w:lineRule="auto"/>
              <w:ind w:left="64"/>
              <w:jc w:val="center"/>
              <w:rPr>
                <w:rFonts w:hint="eastAsia" w:eastAsia="宋体"/>
                <w:lang w:val="en-US" w:eastAsia="zh-CN"/>
              </w:rPr>
            </w:pPr>
            <w:r>
              <w:rPr>
                <w:rFonts w:hint="eastAsia"/>
                <w:lang w:val="en-US" w:eastAsia="zh-CN"/>
              </w:rPr>
              <w:t>4</w:t>
            </w:r>
          </w:p>
        </w:tc>
        <w:tc>
          <w:tcPr>
            <w:tcW w:w="6381" w:type="dxa"/>
            <w:vAlign w:val="center"/>
          </w:tcPr>
          <w:p w14:paraId="320C8176">
            <w:pPr>
              <w:pStyle w:val="6"/>
              <w:spacing w:before="139" w:line="243" w:lineRule="auto"/>
              <w:jc w:val="both"/>
            </w:pPr>
            <w:r>
              <w:rPr>
                <w:spacing w:val="-1"/>
              </w:rPr>
              <w:t>在运营期内，如乙方未能按照用户方的扩容需求，在7个自然日内完</w:t>
            </w:r>
            <w:r>
              <w:rPr>
                <w:spacing w:val="13"/>
              </w:rPr>
              <w:t xml:space="preserve"> </w:t>
            </w:r>
            <w:r>
              <w:rPr>
                <w:spacing w:val="-8"/>
              </w:rPr>
              <w:t>成云平台的资源扩容，且经管理单位书面通知仍未能限期满足用户需求</w:t>
            </w:r>
            <w:r>
              <w:rPr>
                <w:spacing w:val="8"/>
              </w:rPr>
              <w:t xml:space="preserve"> </w:t>
            </w:r>
            <w:r>
              <w:t>的</w:t>
            </w:r>
          </w:p>
        </w:tc>
        <w:tc>
          <w:tcPr>
            <w:tcW w:w="1104" w:type="dxa"/>
            <w:vAlign w:val="center"/>
          </w:tcPr>
          <w:p w14:paraId="35182E34">
            <w:pPr>
              <w:pStyle w:val="6"/>
              <w:spacing w:before="68"/>
              <w:ind w:left="89" w:leftChars="0"/>
              <w:jc w:val="center"/>
            </w:pPr>
            <w:r>
              <w:rPr>
                <w:spacing w:val="-3"/>
              </w:rPr>
              <w:t>20%</w:t>
            </w:r>
          </w:p>
        </w:tc>
      </w:tr>
      <w:tr w14:paraId="1FB3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4" w:type="dxa"/>
            <w:vAlign w:val="center"/>
          </w:tcPr>
          <w:p w14:paraId="14369765">
            <w:pPr>
              <w:pStyle w:val="6"/>
              <w:spacing w:before="224" w:line="189" w:lineRule="auto"/>
              <w:ind w:left="64"/>
              <w:jc w:val="center"/>
            </w:pPr>
            <w:r>
              <w:t>5</w:t>
            </w:r>
          </w:p>
        </w:tc>
        <w:tc>
          <w:tcPr>
            <w:tcW w:w="6381" w:type="dxa"/>
            <w:vAlign w:val="center"/>
          </w:tcPr>
          <w:p w14:paraId="14974886">
            <w:pPr>
              <w:pStyle w:val="6"/>
              <w:spacing w:before="180" w:line="219" w:lineRule="auto"/>
              <w:jc w:val="both"/>
            </w:pPr>
            <w:r>
              <w:t>因所提供的云服务或安全服务出现故障，造成某系统宕机2小时以上</w:t>
            </w:r>
          </w:p>
        </w:tc>
        <w:tc>
          <w:tcPr>
            <w:tcW w:w="1104" w:type="dxa"/>
            <w:vAlign w:val="center"/>
          </w:tcPr>
          <w:p w14:paraId="5514374E">
            <w:pPr>
              <w:pStyle w:val="6"/>
              <w:spacing w:before="222" w:line="191" w:lineRule="auto"/>
              <w:ind w:left="89" w:leftChars="0"/>
              <w:jc w:val="center"/>
            </w:pPr>
            <w:r>
              <w:rPr>
                <w:spacing w:val="-3"/>
              </w:rPr>
              <w:t>30%</w:t>
            </w:r>
          </w:p>
        </w:tc>
      </w:tr>
      <w:tr w14:paraId="086A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34" w:type="dxa"/>
            <w:vAlign w:val="center"/>
          </w:tcPr>
          <w:p w14:paraId="1FDB5D45">
            <w:pPr>
              <w:pStyle w:val="6"/>
              <w:spacing w:before="69"/>
              <w:ind w:left="64"/>
              <w:jc w:val="center"/>
            </w:pPr>
            <w:r>
              <w:t>6</w:t>
            </w:r>
          </w:p>
        </w:tc>
        <w:tc>
          <w:tcPr>
            <w:tcW w:w="6381" w:type="dxa"/>
            <w:vAlign w:val="center"/>
          </w:tcPr>
          <w:p w14:paraId="00350188">
            <w:pPr>
              <w:pStyle w:val="6"/>
              <w:spacing w:before="249" w:line="269" w:lineRule="auto"/>
              <w:ind w:right="42" w:rightChars="0"/>
              <w:jc w:val="both"/>
            </w:pPr>
            <w:r>
              <w:t>因所提供的云服务或安全服务出现故障，造成某系统连续宕机3次以</w:t>
            </w:r>
            <w:r>
              <w:rPr>
                <w:spacing w:val="-1"/>
              </w:rPr>
              <w:t>上或累计8小时以上</w:t>
            </w:r>
          </w:p>
        </w:tc>
        <w:tc>
          <w:tcPr>
            <w:tcW w:w="1104" w:type="dxa"/>
            <w:vAlign w:val="center"/>
          </w:tcPr>
          <w:p w14:paraId="272D5116">
            <w:pPr>
              <w:pStyle w:val="6"/>
              <w:spacing w:before="68"/>
              <w:ind w:left="89" w:leftChars="0"/>
              <w:jc w:val="center"/>
            </w:pPr>
            <w:r>
              <w:rPr>
                <w:spacing w:val="-3"/>
              </w:rPr>
              <w:t>60%</w:t>
            </w:r>
          </w:p>
        </w:tc>
      </w:tr>
      <w:tr w14:paraId="67050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34" w:type="dxa"/>
            <w:vAlign w:val="center"/>
          </w:tcPr>
          <w:p w14:paraId="09B5DFE4">
            <w:pPr>
              <w:pStyle w:val="6"/>
              <w:spacing w:before="225" w:line="179" w:lineRule="auto"/>
              <w:ind w:left="64"/>
              <w:jc w:val="center"/>
            </w:pPr>
            <w:r>
              <w:t>7</w:t>
            </w:r>
          </w:p>
        </w:tc>
        <w:tc>
          <w:tcPr>
            <w:tcW w:w="6381" w:type="dxa"/>
            <w:vAlign w:val="center"/>
          </w:tcPr>
          <w:p w14:paraId="2B2ECF29">
            <w:pPr>
              <w:pStyle w:val="6"/>
              <w:spacing w:before="202" w:line="293" w:lineRule="auto"/>
              <w:jc w:val="both"/>
            </w:pPr>
            <w:r>
              <w:rPr>
                <w:spacing w:val="-8"/>
              </w:rPr>
              <w:t>在云安全监管服务商已发出整改通知后未正</w:t>
            </w:r>
            <w:r>
              <w:rPr>
                <w:spacing w:val="-9"/>
              </w:rPr>
              <w:t>确处置，出现问题的，未造</w:t>
            </w:r>
            <w:r>
              <w:t xml:space="preserve"> </w:t>
            </w:r>
            <w:r>
              <w:rPr>
                <w:spacing w:val="3"/>
              </w:rPr>
              <w:t>成重大影响</w:t>
            </w:r>
          </w:p>
        </w:tc>
        <w:tc>
          <w:tcPr>
            <w:tcW w:w="1104" w:type="dxa"/>
            <w:vAlign w:val="center"/>
          </w:tcPr>
          <w:p w14:paraId="08D094E7">
            <w:pPr>
              <w:pStyle w:val="6"/>
              <w:spacing w:before="68"/>
              <w:ind w:left="89" w:leftChars="0"/>
              <w:jc w:val="center"/>
            </w:pPr>
            <w:r>
              <w:rPr>
                <w:spacing w:val="-3"/>
              </w:rPr>
              <w:t>50%</w:t>
            </w:r>
          </w:p>
        </w:tc>
      </w:tr>
      <w:tr w14:paraId="61BF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34" w:type="dxa"/>
            <w:vAlign w:val="center"/>
          </w:tcPr>
          <w:p w14:paraId="1EBCBE55">
            <w:pPr>
              <w:pStyle w:val="6"/>
              <w:spacing w:before="217" w:line="196" w:lineRule="auto"/>
              <w:ind w:left="64"/>
              <w:jc w:val="center"/>
            </w:pPr>
            <w:r>
              <w:t>8</w:t>
            </w:r>
          </w:p>
        </w:tc>
        <w:tc>
          <w:tcPr>
            <w:tcW w:w="6381" w:type="dxa"/>
            <w:vAlign w:val="center"/>
          </w:tcPr>
          <w:p w14:paraId="2E6BF83E">
            <w:pPr>
              <w:pStyle w:val="6"/>
              <w:spacing w:before="264" w:line="266" w:lineRule="auto"/>
              <w:ind w:left="70" w:leftChars="0" w:right="189" w:rightChars="0" w:firstLine="9" w:firstLineChars="0"/>
              <w:jc w:val="both"/>
            </w:pPr>
            <w:r>
              <w:t>运维需求平均响应时间大于15分钟且小于30</w:t>
            </w:r>
            <w:r>
              <w:rPr>
                <w:spacing w:val="-1"/>
              </w:rPr>
              <w:t>分钟，出现问题但未造</w:t>
            </w:r>
            <w:r>
              <w:rPr>
                <w:spacing w:val="3"/>
              </w:rPr>
              <w:t>成重大影响</w:t>
            </w:r>
          </w:p>
        </w:tc>
        <w:tc>
          <w:tcPr>
            <w:tcW w:w="1104" w:type="dxa"/>
            <w:vAlign w:val="center"/>
          </w:tcPr>
          <w:p w14:paraId="78238765">
            <w:pPr>
              <w:pStyle w:val="6"/>
              <w:spacing w:before="68"/>
              <w:ind w:left="89" w:leftChars="0"/>
              <w:jc w:val="center"/>
            </w:pPr>
            <w:r>
              <w:rPr>
                <w:spacing w:val="-3"/>
              </w:rPr>
              <w:t>30%</w:t>
            </w:r>
          </w:p>
        </w:tc>
      </w:tr>
      <w:tr w14:paraId="7FD1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4" w:type="dxa"/>
            <w:vAlign w:val="center"/>
          </w:tcPr>
          <w:p w14:paraId="01DBD241">
            <w:pPr>
              <w:pStyle w:val="6"/>
              <w:spacing w:before="306"/>
              <w:jc w:val="center"/>
              <w:rPr>
                <w:rFonts w:hint="eastAsia" w:eastAsia="宋体"/>
                <w:lang w:val="en-US" w:eastAsia="zh-CN"/>
              </w:rPr>
            </w:pPr>
            <w:r>
              <w:rPr>
                <w:rFonts w:hint="eastAsia"/>
                <w:lang w:val="en-US" w:eastAsia="zh-CN"/>
              </w:rPr>
              <w:t>9</w:t>
            </w:r>
          </w:p>
        </w:tc>
        <w:tc>
          <w:tcPr>
            <w:tcW w:w="6381" w:type="dxa"/>
            <w:vAlign w:val="center"/>
          </w:tcPr>
          <w:p w14:paraId="3CC50F95">
            <w:pPr>
              <w:pStyle w:val="6"/>
              <w:spacing w:before="266" w:line="257" w:lineRule="auto"/>
              <w:ind w:right="189" w:rightChars="0"/>
              <w:jc w:val="both"/>
            </w:pPr>
            <w:r>
              <w:t>运维需求平均响应时间大于30分钟且小于60</w:t>
            </w:r>
            <w:r>
              <w:rPr>
                <w:spacing w:val="-1"/>
              </w:rPr>
              <w:t>分钟，出现问题但未造</w:t>
            </w:r>
            <w:r>
              <w:rPr>
                <w:spacing w:val="3"/>
              </w:rPr>
              <w:t>成重大影响</w:t>
            </w:r>
          </w:p>
        </w:tc>
        <w:tc>
          <w:tcPr>
            <w:tcW w:w="1104" w:type="dxa"/>
            <w:vAlign w:val="center"/>
          </w:tcPr>
          <w:p w14:paraId="0597C99D">
            <w:pPr>
              <w:pStyle w:val="6"/>
              <w:spacing w:before="68"/>
              <w:ind w:left="89" w:leftChars="0"/>
              <w:jc w:val="center"/>
            </w:pPr>
            <w:r>
              <w:rPr>
                <w:spacing w:val="-3"/>
              </w:rPr>
              <w:t>50%</w:t>
            </w:r>
          </w:p>
        </w:tc>
      </w:tr>
      <w:tr w14:paraId="274EF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34" w:type="dxa"/>
            <w:vAlign w:val="center"/>
          </w:tcPr>
          <w:p w14:paraId="5D10023A">
            <w:pPr>
              <w:pStyle w:val="6"/>
              <w:spacing w:before="68"/>
              <w:ind w:left="64"/>
              <w:jc w:val="center"/>
            </w:pPr>
            <w:r>
              <w:rPr>
                <w:spacing w:val="-6"/>
              </w:rPr>
              <w:t>10</w:t>
            </w:r>
          </w:p>
        </w:tc>
        <w:tc>
          <w:tcPr>
            <w:tcW w:w="6381" w:type="dxa"/>
            <w:vAlign w:val="center"/>
          </w:tcPr>
          <w:p w14:paraId="280B717C">
            <w:pPr>
              <w:pStyle w:val="6"/>
              <w:spacing w:before="265" w:line="267" w:lineRule="auto"/>
              <w:ind w:right="169" w:rightChars="0"/>
              <w:jc w:val="both"/>
            </w:pPr>
            <w:r>
              <w:t>运维需求平均故障恢复时间大于30分钟且小于</w:t>
            </w:r>
            <w:r>
              <w:rPr>
                <w:spacing w:val="-1"/>
              </w:rPr>
              <w:t>60分钟，出现问题但</w:t>
            </w:r>
            <w:r>
              <w:rPr>
                <w:spacing w:val="2"/>
              </w:rPr>
              <w:t>未造成重大影响</w:t>
            </w:r>
          </w:p>
        </w:tc>
        <w:tc>
          <w:tcPr>
            <w:tcW w:w="1104" w:type="dxa"/>
            <w:vAlign w:val="center"/>
          </w:tcPr>
          <w:p w14:paraId="3E12C4C4">
            <w:pPr>
              <w:pStyle w:val="6"/>
              <w:spacing w:before="68"/>
              <w:ind w:left="89" w:leftChars="0"/>
              <w:jc w:val="center"/>
            </w:pPr>
            <w:r>
              <w:rPr>
                <w:spacing w:val="-3"/>
              </w:rPr>
              <w:t>30%</w:t>
            </w:r>
          </w:p>
        </w:tc>
      </w:tr>
      <w:tr w14:paraId="0908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34" w:type="dxa"/>
            <w:vAlign w:val="center"/>
          </w:tcPr>
          <w:p w14:paraId="7D84E712">
            <w:pPr>
              <w:pStyle w:val="6"/>
              <w:spacing w:before="218" w:line="195" w:lineRule="auto"/>
              <w:ind w:left="64"/>
              <w:jc w:val="center"/>
            </w:pPr>
            <w:r>
              <w:rPr>
                <w:spacing w:val="-6"/>
              </w:rPr>
              <w:t>11</w:t>
            </w:r>
          </w:p>
        </w:tc>
        <w:tc>
          <w:tcPr>
            <w:tcW w:w="6381" w:type="dxa"/>
            <w:vAlign w:val="center"/>
          </w:tcPr>
          <w:p w14:paraId="7E9D3568">
            <w:pPr>
              <w:pStyle w:val="6"/>
              <w:spacing w:before="255" w:line="276" w:lineRule="auto"/>
              <w:ind w:right="304" w:rightChars="0"/>
              <w:jc w:val="both"/>
            </w:pPr>
            <w:r>
              <w:t>运维需求平均故障恢复时间大于60分钟且小于</w:t>
            </w:r>
            <w:r>
              <w:rPr>
                <w:spacing w:val="-1"/>
              </w:rPr>
              <w:t>120分钟，出现问题</w:t>
            </w:r>
            <w:r>
              <w:rPr>
                <w:spacing w:val="2"/>
              </w:rPr>
              <w:t>但未造成重大影响</w:t>
            </w:r>
          </w:p>
        </w:tc>
        <w:tc>
          <w:tcPr>
            <w:tcW w:w="1104" w:type="dxa"/>
            <w:vAlign w:val="center"/>
          </w:tcPr>
          <w:p w14:paraId="48C33AA1">
            <w:pPr>
              <w:pStyle w:val="6"/>
              <w:spacing w:before="68"/>
              <w:ind w:left="89" w:leftChars="0"/>
              <w:jc w:val="center"/>
            </w:pPr>
            <w:r>
              <w:rPr>
                <w:spacing w:val="-3"/>
              </w:rPr>
              <w:t>50%</w:t>
            </w:r>
          </w:p>
        </w:tc>
      </w:tr>
      <w:tr w14:paraId="781B8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4" w:type="dxa"/>
            <w:vAlign w:val="center"/>
          </w:tcPr>
          <w:p w14:paraId="3E3E3148">
            <w:pPr>
              <w:pStyle w:val="6"/>
              <w:spacing w:before="218" w:line="198" w:lineRule="auto"/>
              <w:ind w:left="64"/>
              <w:jc w:val="center"/>
            </w:pPr>
            <w:r>
              <w:rPr>
                <w:spacing w:val="-6"/>
              </w:rPr>
              <w:t>12</w:t>
            </w:r>
          </w:p>
        </w:tc>
        <w:tc>
          <w:tcPr>
            <w:tcW w:w="6381" w:type="dxa"/>
            <w:vAlign w:val="center"/>
          </w:tcPr>
          <w:p w14:paraId="009FF6C9">
            <w:pPr>
              <w:pStyle w:val="6"/>
              <w:spacing w:before="276" w:line="252" w:lineRule="auto"/>
              <w:ind w:right="180" w:rightChars="0"/>
              <w:jc w:val="both"/>
            </w:pPr>
            <w:r>
              <w:t>现场无人值守超过大于1小时且小于2小时</w:t>
            </w:r>
            <w:r>
              <w:rPr>
                <w:spacing w:val="-1"/>
              </w:rPr>
              <w:t>，出现问题但未造成重大</w:t>
            </w:r>
            <w:r>
              <w:rPr>
                <w:spacing w:val="8"/>
              </w:rPr>
              <w:t>影响</w:t>
            </w:r>
          </w:p>
        </w:tc>
        <w:tc>
          <w:tcPr>
            <w:tcW w:w="1104" w:type="dxa"/>
            <w:vAlign w:val="center"/>
          </w:tcPr>
          <w:p w14:paraId="3A308947">
            <w:pPr>
              <w:pStyle w:val="6"/>
              <w:spacing w:before="68"/>
              <w:ind w:left="89" w:leftChars="0"/>
              <w:jc w:val="center"/>
            </w:pPr>
            <w:r>
              <w:rPr>
                <w:spacing w:val="-3"/>
              </w:rPr>
              <w:t>30%</w:t>
            </w:r>
          </w:p>
        </w:tc>
      </w:tr>
      <w:tr w14:paraId="2985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34" w:type="dxa"/>
            <w:vAlign w:val="center"/>
          </w:tcPr>
          <w:p w14:paraId="434665CD">
            <w:pPr>
              <w:pStyle w:val="6"/>
              <w:spacing w:before="218" w:line="198" w:lineRule="auto"/>
              <w:ind w:left="64"/>
              <w:jc w:val="center"/>
              <w:rPr>
                <w:rFonts w:hint="default" w:eastAsia="宋体"/>
                <w:spacing w:val="-6"/>
                <w:lang w:val="en-US" w:eastAsia="zh-CN"/>
              </w:rPr>
            </w:pPr>
            <w:r>
              <w:rPr>
                <w:rFonts w:hint="eastAsia"/>
                <w:spacing w:val="-6"/>
                <w:lang w:val="en-US" w:eastAsia="zh-CN"/>
              </w:rPr>
              <w:t>13</w:t>
            </w:r>
          </w:p>
        </w:tc>
        <w:tc>
          <w:tcPr>
            <w:tcW w:w="6381" w:type="dxa"/>
            <w:vAlign w:val="center"/>
          </w:tcPr>
          <w:p w14:paraId="3BABBEA7">
            <w:pPr>
              <w:pStyle w:val="6"/>
              <w:spacing w:before="267" w:line="271" w:lineRule="auto"/>
              <w:ind w:left="79" w:leftChars="0" w:right="200" w:rightChars="0" w:hanging="9" w:firstLineChars="0"/>
              <w:jc w:val="both"/>
              <w:rPr>
                <w:spacing w:val="-1"/>
              </w:rPr>
            </w:pPr>
            <w:r>
              <w:t>现场无人值守超过大于2小时且小于4小时</w:t>
            </w:r>
            <w:r>
              <w:rPr>
                <w:spacing w:val="-1"/>
              </w:rPr>
              <w:t>，出现问题但米造成重大</w:t>
            </w:r>
            <w:r>
              <w:rPr>
                <w:spacing w:val="8"/>
              </w:rPr>
              <w:t>影响</w:t>
            </w:r>
          </w:p>
        </w:tc>
        <w:tc>
          <w:tcPr>
            <w:tcW w:w="1104" w:type="dxa"/>
            <w:vAlign w:val="center"/>
          </w:tcPr>
          <w:p w14:paraId="49B74D3D">
            <w:pPr>
              <w:pStyle w:val="6"/>
              <w:spacing w:before="68"/>
              <w:ind w:left="89" w:leftChars="0"/>
              <w:jc w:val="center"/>
              <w:rPr>
                <w:spacing w:val="-3"/>
              </w:rPr>
            </w:pPr>
            <w:r>
              <w:rPr>
                <w:spacing w:val="-3"/>
              </w:rPr>
              <w:t>50%</w:t>
            </w:r>
          </w:p>
        </w:tc>
      </w:tr>
    </w:tbl>
    <w:p w14:paraId="40F843EB">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1E84">
    <w:pPr>
      <w:spacing w:line="167" w:lineRule="auto"/>
      <w:ind w:left="4219"/>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GFkYTkwNjZjODA3YTU3OGUyNDFjZDZiMjMyMWMifQ=="/>
  </w:docVars>
  <w:rsids>
    <w:rsidRoot w:val="4AF77917"/>
    <w:rsid w:val="00042CFD"/>
    <w:rsid w:val="00215E55"/>
    <w:rsid w:val="00480FA1"/>
    <w:rsid w:val="007711F1"/>
    <w:rsid w:val="00796D30"/>
    <w:rsid w:val="00851525"/>
    <w:rsid w:val="00871532"/>
    <w:rsid w:val="009E1022"/>
    <w:rsid w:val="00A2272A"/>
    <w:rsid w:val="00A5454B"/>
    <w:rsid w:val="00C324C4"/>
    <w:rsid w:val="00C54F9F"/>
    <w:rsid w:val="00D757A4"/>
    <w:rsid w:val="00DD0D9D"/>
    <w:rsid w:val="00EE3ADE"/>
    <w:rsid w:val="00FC7E9E"/>
    <w:rsid w:val="00FD5931"/>
    <w:rsid w:val="02685FED"/>
    <w:rsid w:val="08740FC8"/>
    <w:rsid w:val="156E66B6"/>
    <w:rsid w:val="1BC43CAC"/>
    <w:rsid w:val="1EB51651"/>
    <w:rsid w:val="1F2C21EB"/>
    <w:rsid w:val="22C81119"/>
    <w:rsid w:val="23996B76"/>
    <w:rsid w:val="2D1A7254"/>
    <w:rsid w:val="3801353A"/>
    <w:rsid w:val="3A0815C7"/>
    <w:rsid w:val="3D146F7C"/>
    <w:rsid w:val="40F46F69"/>
    <w:rsid w:val="41417365"/>
    <w:rsid w:val="46745167"/>
    <w:rsid w:val="47F932DD"/>
    <w:rsid w:val="4AF77917"/>
    <w:rsid w:val="4E2B1D38"/>
    <w:rsid w:val="5365033A"/>
    <w:rsid w:val="552C446C"/>
    <w:rsid w:val="5CD13FE2"/>
    <w:rsid w:val="62FA5BEE"/>
    <w:rsid w:val="67E804B6"/>
    <w:rsid w:val="778154D2"/>
    <w:rsid w:val="7984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unhideWhenUsed/>
    <w:qFormat/>
    <w:uiPriority w:val="99"/>
    <w:rPr>
      <w:rFonts w:asciiTheme="minorHAnsi" w:hAnsiTheme="minorHAnsi" w:eastAsiaTheme="minorEastAsia" w:cstheme="minorBidi"/>
      <w:kern w:val="2"/>
      <w:sz w:val="21"/>
      <w:szCs w:val="24"/>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5428</Words>
  <Characters>5623</Characters>
  <Lines>31</Lines>
  <Paragraphs>8</Paragraphs>
  <TotalTime>2</TotalTime>
  <ScaleCrop>false</ScaleCrop>
  <LinksUpToDate>false</LinksUpToDate>
  <CharactersWithSpaces>5714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2024-07-24T07:55:00Z</dcterms:created>
  <dc:creator>我麋鹿了</dc:creator>
  <cp:lastModifiedBy>admin</cp:lastModifiedBy>
  <dcterms:modified xsi:type="dcterms:W3CDTF">2025-06-25T01:37:06Z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FF7A738887C648C29877F530A5FC43E1_11</vt:lpwstr>
  </property>
  <property fmtid="{D5CDD505-2E9C-101B-9397-08002B2CF9AE}" pid="4" name="KSOTemplateDocerSaveRecord">
    <vt:lpwstr>eyJoZGlkIjoiYzE4MGFkYTkwNjZjODA3YTU3OGUyNDFjZDZiMjMyMWMiLCJ1c2VySWQiOiIyOTg5MTA1NzEifQ==</vt:lpwstr>
  </property>
</Properties>
</file>